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E3" w:rsidRPr="006A77E1" w:rsidRDefault="00A52036" w:rsidP="003F02D5">
      <w:pPr>
        <w:spacing w:after="0" w:line="276" w:lineRule="auto"/>
        <w:jc w:val="center"/>
        <w:rPr>
          <w:rFonts w:ascii="Verdana" w:hAnsi="Verdana"/>
          <w:b/>
          <w:sz w:val="22"/>
        </w:rPr>
      </w:pPr>
      <w:r w:rsidRPr="006A77E1">
        <w:rPr>
          <w:rFonts w:ascii="Verdana" w:hAnsi="Verdana"/>
          <w:b/>
          <w:sz w:val="22"/>
        </w:rPr>
        <w:t>Summary of Notifications issued on 01.01.2020</w:t>
      </w:r>
    </w:p>
    <w:p w:rsidR="003F02D5" w:rsidRDefault="003F02D5" w:rsidP="00915291">
      <w:pPr>
        <w:spacing w:after="0" w:line="276" w:lineRule="auto"/>
        <w:rPr>
          <w:rFonts w:ascii="Verdana" w:hAnsi="Verdana"/>
          <w:b/>
          <w:sz w:val="22"/>
          <w:u w:val="single"/>
        </w:rPr>
      </w:pPr>
    </w:p>
    <w:p w:rsidR="00AE6D65" w:rsidRPr="007352E3" w:rsidRDefault="00AE6D65" w:rsidP="00915291">
      <w:pPr>
        <w:spacing w:after="0" w:line="276" w:lineRule="auto"/>
        <w:rPr>
          <w:rFonts w:ascii="Verdana" w:hAnsi="Verdana"/>
          <w:sz w:val="22"/>
        </w:rPr>
      </w:pPr>
      <w:r w:rsidRPr="007352E3">
        <w:rPr>
          <w:rFonts w:ascii="Verdana" w:hAnsi="Verdana"/>
          <w:b/>
          <w:sz w:val="22"/>
          <w:u w:val="single"/>
        </w:rPr>
        <w:t>1. Notification No. 01/2020-CT dated 01.01.2020</w:t>
      </w:r>
    </w:p>
    <w:p w:rsidR="006A77E1" w:rsidRDefault="006A77E1" w:rsidP="00915291">
      <w:pPr>
        <w:spacing w:after="0" w:line="276" w:lineRule="auto"/>
        <w:ind w:firstLine="0"/>
        <w:rPr>
          <w:rFonts w:ascii="Verdana" w:hAnsi="Verdana"/>
          <w:sz w:val="22"/>
        </w:rPr>
      </w:pPr>
    </w:p>
    <w:p w:rsidR="005F7A5C" w:rsidRPr="007352E3" w:rsidRDefault="00C90334" w:rsidP="006A77E1">
      <w:pPr>
        <w:spacing w:after="0" w:line="276" w:lineRule="auto"/>
        <w:rPr>
          <w:rFonts w:ascii="Verdana" w:hAnsi="Verdana"/>
          <w:sz w:val="22"/>
        </w:rPr>
      </w:pPr>
      <w:r w:rsidRPr="007352E3">
        <w:rPr>
          <w:rFonts w:ascii="Verdana" w:hAnsi="Verdana"/>
          <w:sz w:val="22"/>
        </w:rPr>
        <w:t>Various</w:t>
      </w:r>
      <w:r w:rsidR="001D2017" w:rsidRPr="007352E3">
        <w:rPr>
          <w:rFonts w:ascii="Verdana" w:hAnsi="Verdana"/>
          <w:sz w:val="22"/>
        </w:rPr>
        <w:t xml:space="preserve"> amendments</w:t>
      </w:r>
      <w:r w:rsidRPr="007352E3">
        <w:rPr>
          <w:rFonts w:ascii="Verdana" w:hAnsi="Verdana"/>
          <w:sz w:val="22"/>
        </w:rPr>
        <w:t xml:space="preserve"> </w:t>
      </w:r>
      <w:r w:rsidR="00A52036">
        <w:rPr>
          <w:rFonts w:ascii="Verdana" w:hAnsi="Verdana"/>
          <w:sz w:val="22"/>
        </w:rPr>
        <w:t xml:space="preserve">were </w:t>
      </w:r>
      <w:r w:rsidRPr="007352E3">
        <w:rPr>
          <w:rFonts w:ascii="Verdana" w:hAnsi="Verdana"/>
          <w:sz w:val="22"/>
        </w:rPr>
        <w:t>made</w:t>
      </w:r>
      <w:r w:rsidR="001D2017" w:rsidRPr="007352E3">
        <w:rPr>
          <w:rFonts w:ascii="Verdana" w:hAnsi="Verdana"/>
          <w:sz w:val="22"/>
        </w:rPr>
        <w:t xml:space="preserve"> in the CGST Act 2017 </w:t>
      </w:r>
      <w:r w:rsidRPr="007352E3">
        <w:rPr>
          <w:rFonts w:ascii="Verdana" w:hAnsi="Verdana"/>
          <w:sz w:val="22"/>
        </w:rPr>
        <w:t xml:space="preserve">vide Finance Act, 2019 on 01.08.2019 but the </w:t>
      </w:r>
      <w:r w:rsidR="0024112E">
        <w:rPr>
          <w:rFonts w:ascii="Verdana" w:hAnsi="Verdana"/>
          <w:sz w:val="22"/>
        </w:rPr>
        <w:t xml:space="preserve">changes </w:t>
      </w:r>
      <w:r w:rsidRPr="007352E3">
        <w:rPr>
          <w:rFonts w:ascii="Verdana" w:hAnsi="Verdana"/>
          <w:sz w:val="22"/>
        </w:rPr>
        <w:t xml:space="preserve"> </w:t>
      </w:r>
      <w:r w:rsidR="003F02D5">
        <w:rPr>
          <w:rFonts w:ascii="Verdana" w:hAnsi="Verdana"/>
          <w:sz w:val="22"/>
        </w:rPr>
        <w:t xml:space="preserve">would </w:t>
      </w:r>
      <w:r w:rsidR="0024112E">
        <w:rPr>
          <w:rFonts w:ascii="Verdana" w:hAnsi="Verdana"/>
          <w:sz w:val="22"/>
        </w:rPr>
        <w:t>come into force from a d</w:t>
      </w:r>
      <w:r w:rsidR="003F02D5">
        <w:rPr>
          <w:rFonts w:ascii="Verdana" w:hAnsi="Verdana"/>
          <w:sz w:val="22"/>
        </w:rPr>
        <w:t xml:space="preserve">ate notified by the Government. </w:t>
      </w:r>
      <w:r w:rsidR="00A52036">
        <w:rPr>
          <w:rFonts w:ascii="Verdana" w:hAnsi="Verdana"/>
          <w:sz w:val="22"/>
        </w:rPr>
        <w:t xml:space="preserve">Now </w:t>
      </w:r>
      <w:r w:rsidR="001D2017" w:rsidRPr="007352E3">
        <w:rPr>
          <w:rFonts w:ascii="Verdana" w:hAnsi="Verdana"/>
          <w:sz w:val="22"/>
        </w:rPr>
        <w:t xml:space="preserve">several of these changes </w:t>
      </w:r>
      <w:r w:rsidR="00A52036">
        <w:rPr>
          <w:rFonts w:ascii="Verdana" w:hAnsi="Verdana"/>
          <w:sz w:val="22"/>
        </w:rPr>
        <w:t>c</w:t>
      </w:r>
      <w:r w:rsidR="00FF5920">
        <w:rPr>
          <w:rFonts w:ascii="Verdana" w:hAnsi="Verdana"/>
          <w:sz w:val="22"/>
        </w:rPr>
        <w:t>ame into effect from 01.01.2020</w:t>
      </w:r>
      <w:r w:rsidR="003F02D5">
        <w:rPr>
          <w:rFonts w:ascii="Verdana" w:hAnsi="Verdana"/>
          <w:sz w:val="22"/>
        </w:rPr>
        <w:t xml:space="preserve">. </w:t>
      </w:r>
      <w:r w:rsidR="00625676" w:rsidRPr="007352E3">
        <w:rPr>
          <w:rFonts w:ascii="Verdana" w:hAnsi="Verdana"/>
          <w:sz w:val="22"/>
        </w:rPr>
        <w:t xml:space="preserve">The </w:t>
      </w:r>
      <w:proofErr w:type="gramStart"/>
      <w:r w:rsidR="00A52036">
        <w:rPr>
          <w:rFonts w:ascii="Verdana" w:hAnsi="Verdana"/>
          <w:sz w:val="22"/>
        </w:rPr>
        <w:t xml:space="preserve">scope of </w:t>
      </w:r>
      <w:r w:rsidR="00625676" w:rsidRPr="007352E3">
        <w:rPr>
          <w:rFonts w:ascii="Verdana" w:hAnsi="Verdana"/>
          <w:sz w:val="22"/>
        </w:rPr>
        <w:t xml:space="preserve">amendments </w:t>
      </w:r>
      <w:r w:rsidR="00FF5920">
        <w:rPr>
          <w:rFonts w:ascii="Verdana" w:hAnsi="Verdana"/>
          <w:sz w:val="22"/>
        </w:rPr>
        <w:t>are</w:t>
      </w:r>
      <w:proofErr w:type="gramEnd"/>
      <w:r w:rsidR="00FF5920">
        <w:rPr>
          <w:rFonts w:ascii="Verdana" w:hAnsi="Verdana"/>
          <w:sz w:val="22"/>
        </w:rPr>
        <w:t xml:space="preserve"> </w:t>
      </w:r>
      <w:r w:rsidR="00A52036">
        <w:rPr>
          <w:rFonts w:ascii="Verdana" w:hAnsi="Verdana"/>
          <w:sz w:val="22"/>
        </w:rPr>
        <w:t>furnished</w:t>
      </w:r>
      <w:r w:rsidR="00625676" w:rsidRPr="007352E3">
        <w:rPr>
          <w:rFonts w:ascii="Verdana" w:hAnsi="Verdana"/>
          <w:sz w:val="22"/>
        </w:rPr>
        <w:t xml:space="preserve"> below:</w:t>
      </w:r>
    </w:p>
    <w:p w:rsidR="005F7A5C" w:rsidRPr="007352E3" w:rsidRDefault="005F7A5C" w:rsidP="00320DFC">
      <w:pPr>
        <w:rPr>
          <w:rFonts w:ascii="Verdana" w:hAnsi="Verdana"/>
          <w:sz w:val="22"/>
        </w:rPr>
      </w:pPr>
    </w:p>
    <w:tbl>
      <w:tblPr>
        <w:tblStyle w:val="TableGrid"/>
        <w:tblW w:w="10130" w:type="dxa"/>
        <w:tblInd w:w="-702" w:type="dxa"/>
        <w:tblLook w:val="04A0" w:firstRow="1" w:lastRow="0" w:firstColumn="1" w:lastColumn="0" w:noHBand="0" w:noVBand="1"/>
      </w:tblPr>
      <w:tblGrid>
        <w:gridCol w:w="1086"/>
        <w:gridCol w:w="963"/>
        <w:gridCol w:w="8081"/>
      </w:tblGrid>
      <w:tr w:rsidR="00F57D19" w:rsidRPr="009C26D7" w:rsidTr="00ED1A5D">
        <w:trPr>
          <w:trHeight w:val="143"/>
        </w:trPr>
        <w:tc>
          <w:tcPr>
            <w:tcW w:w="1063" w:type="dxa"/>
            <w:vAlign w:val="center"/>
          </w:tcPr>
          <w:p w:rsidR="005F7A5C" w:rsidRPr="009C26D7" w:rsidRDefault="00AB0660" w:rsidP="006A77E1">
            <w:pPr>
              <w:ind w:left="0" w:firstLine="0"/>
              <w:jc w:val="center"/>
              <w:rPr>
                <w:rFonts w:ascii="Verdana" w:hAnsi="Verdana"/>
                <w:b/>
                <w:sz w:val="20"/>
                <w:szCs w:val="20"/>
              </w:rPr>
            </w:pPr>
            <w:r w:rsidRPr="009C26D7">
              <w:rPr>
                <w:rFonts w:ascii="Verdana" w:hAnsi="Verdana"/>
                <w:b/>
                <w:sz w:val="20"/>
                <w:szCs w:val="20"/>
              </w:rPr>
              <w:t>F</w:t>
            </w:r>
            <w:r w:rsidR="006A77E1" w:rsidRPr="009C26D7">
              <w:rPr>
                <w:rFonts w:ascii="Verdana" w:hAnsi="Verdana"/>
                <w:b/>
                <w:sz w:val="20"/>
                <w:szCs w:val="20"/>
              </w:rPr>
              <w:t>inance Act</w:t>
            </w:r>
            <w:r w:rsidRPr="009C26D7">
              <w:rPr>
                <w:rFonts w:ascii="Verdana" w:hAnsi="Verdana"/>
                <w:b/>
                <w:sz w:val="20"/>
                <w:szCs w:val="20"/>
              </w:rPr>
              <w:t xml:space="preserve"> 2019</w:t>
            </w:r>
            <w:r w:rsidR="00A52036" w:rsidRPr="009C26D7">
              <w:rPr>
                <w:rFonts w:ascii="Verdana" w:hAnsi="Verdana"/>
                <w:b/>
                <w:sz w:val="20"/>
                <w:szCs w:val="20"/>
              </w:rPr>
              <w:t xml:space="preserve"> </w:t>
            </w:r>
          </w:p>
        </w:tc>
        <w:tc>
          <w:tcPr>
            <w:tcW w:w="963" w:type="dxa"/>
            <w:vAlign w:val="center"/>
          </w:tcPr>
          <w:p w:rsidR="003438C7" w:rsidRPr="009C26D7" w:rsidRDefault="005F7A5C" w:rsidP="00172116">
            <w:pPr>
              <w:ind w:left="0" w:firstLine="0"/>
              <w:jc w:val="center"/>
              <w:rPr>
                <w:rFonts w:ascii="Verdana" w:hAnsi="Verdana"/>
                <w:b/>
                <w:sz w:val="20"/>
                <w:szCs w:val="20"/>
              </w:rPr>
            </w:pPr>
            <w:r w:rsidRPr="009C26D7">
              <w:rPr>
                <w:rFonts w:ascii="Verdana" w:hAnsi="Verdana"/>
                <w:b/>
                <w:sz w:val="20"/>
                <w:szCs w:val="20"/>
              </w:rPr>
              <w:t>CGST Act</w:t>
            </w:r>
          </w:p>
          <w:p w:rsidR="005F7A5C" w:rsidRPr="009C26D7" w:rsidRDefault="00172116" w:rsidP="00172116">
            <w:pPr>
              <w:ind w:left="0" w:firstLine="0"/>
              <w:jc w:val="center"/>
              <w:rPr>
                <w:rFonts w:ascii="Verdana" w:hAnsi="Verdana"/>
                <w:b/>
                <w:sz w:val="20"/>
                <w:szCs w:val="20"/>
              </w:rPr>
            </w:pPr>
            <w:r w:rsidRPr="009C26D7">
              <w:rPr>
                <w:rFonts w:ascii="Verdana" w:hAnsi="Verdana"/>
                <w:b/>
                <w:sz w:val="20"/>
                <w:szCs w:val="20"/>
              </w:rPr>
              <w:t>2017</w:t>
            </w:r>
          </w:p>
        </w:tc>
        <w:tc>
          <w:tcPr>
            <w:tcW w:w="8104" w:type="dxa"/>
            <w:vAlign w:val="center"/>
          </w:tcPr>
          <w:p w:rsidR="005F7A5C" w:rsidRPr="009C26D7" w:rsidRDefault="00AB0660" w:rsidP="00172116">
            <w:pPr>
              <w:ind w:left="0" w:firstLine="0"/>
              <w:jc w:val="center"/>
              <w:rPr>
                <w:rFonts w:ascii="Verdana" w:hAnsi="Verdana"/>
                <w:b/>
                <w:sz w:val="20"/>
                <w:szCs w:val="20"/>
              </w:rPr>
            </w:pPr>
            <w:r w:rsidRPr="009C26D7">
              <w:rPr>
                <w:rFonts w:ascii="Verdana" w:hAnsi="Verdana"/>
                <w:b/>
                <w:sz w:val="20"/>
                <w:szCs w:val="20"/>
              </w:rPr>
              <w:t>GIST of Amendments</w:t>
            </w:r>
          </w:p>
        </w:tc>
      </w:tr>
      <w:tr w:rsidR="00F57D19" w:rsidRPr="009C26D7" w:rsidTr="00ED1A5D">
        <w:trPr>
          <w:trHeight w:val="143"/>
        </w:trPr>
        <w:tc>
          <w:tcPr>
            <w:tcW w:w="1063" w:type="dxa"/>
            <w:vAlign w:val="center"/>
          </w:tcPr>
          <w:p w:rsidR="005F7A5C" w:rsidRPr="009C26D7" w:rsidRDefault="006A77E1" w:rsidP="003438C7">
            <w:pPr>
              <w:spacing w:after="0"/>
              <w:ind w:left="0" w:firstLine="0"/>
              <w:jc w:val="center"/>
              <w:rPr>
                <w:rFonts w:ascii="Verdana" w:hAnsi="Verdana"/>
                <w:sz w:val="20"/>
                <w:szCs w:val="20"/>
              </w:rPr>
            </w:pPr>
            <w:r w:rsidRPr="009C26D7">
              <w:rPr>
                <w:rFonts w:ascii="Verdana" w:hAnsi="Verdana"/>
                <w:sz w:val="20"/>
                <w:szCs w:val="20"/>
              </w:rPr>
              <w:t xml:space="preserve">Section </w:t>
            </w:r>
            <w:r w:rsidR="00FE53E2" w:rsidRPr="009C26D7">
              <w:rPr>
                <w:rFonts w:ascii="Verdana" w:hAnsi="Verdana"/>
                <w:sz w:val="20"/>
                <w:szCs w:val="20"/>
              </w:rPr>
              <w:t>93</w:t>
            </w:r>
          </w:p>
        </w:tc>
        <w:tc>
          <w:tcPr>
            <w:tcW w:w="963" w:type="dxa"/>
            <w:vAlign w:val="center"/>
          </w:tcPr>
          <w:p w:rsidR="005F7A5C" w:rsidRPr="009C26D7" w:rsidRDefault="006A77E1" w:rsidP="003438C7">
            <w:pPr>
              <w:spacing w:after="0"/>
              <w:ind w:left="0" w:firstLine="0"/>
              <w:jc w:val="center"/>
              <w:rPr>
                <w:rFonts w:ascii="Verdana" w:hAnsi="Verdana"/>
                <w:sz w:val="20"/>
                <w:szCs w:val="20"/>
              </w:rPr>
            </w:pPr>
            <w:r w:rsidRPr="009C26D7">
              <w:rPr>
                <w:rFonts w:ascii="Verdana" w:hAnsi="Verdana"/>
                <w:sz w:val="20"/>
                <w:szCs w:val="20"/>
              </w:rPr>
              <w:t xml:space="preserve">Section </w:t>
            </w:r>
            <w:r w:rsidR="00FE53E2" w:rsidRPr="009C26D7">
              <w:rPr>
                <w:rFonts w:ascii="Verdana" w:hAnsi="Verdana"/>
                <w:sz w:val="20"/>
                <w:szCs w:val="20"/>
              </w:rPr>
              <w:t>10</w:t>
            </w:r>
          </w:p>
        </w:tc>
        <w:tc>
          <w:tcPr>
            <w:tcW w:w="8104" w:type="dxa"/>
            <w:vAlign w:val="center"/>
          </w:tcPr>
          <w:p w:rsidR="00912BD2" w:rsidRPr="009C26D7" w:rsidRDefault="00807E0C" w:rsidP="00807E0C">
            <w:pPr>
              <w:ind w:firstLine="0"/>
              <w:rPr>
                <w:rFonts w:ascii="Verdana" w:eastAsia="Times New Roman" w:hAnsi="Verdana" w:cs="Times New Roman"/>
                <w:sz w:val="20"/>
                <w:szCs w:val="20"/>
              </w:rPr>
            </w:pPr>
            <w:r w:rsidRPr="009C26D7">
              <w:rPr>
                <w:rFonts w:ascii="Verdana" w:eastAsia="Times New Roman" w:hAnsi="Verdana" w:cs="Times New Roman"/>
                <w:b/>
                <w:sz w:val="20"/>
                <w:szCs w:val="20"/>
              </w:rPr>
              <w:t xml:space="preserve">Interest earned on deposits not to be computed for composition scheme. </w:t>
            </w:r>
            <w:r w:rsidRPr="00A94043">
              <w:rPr>
                <w:rFonts w:ascii="Verdana" w:eastAsia="Times New Roman" w:hAnsi="Verdana" w:cs="Times New Roman"/>
                <w:sz w:val="20"/>
                <w:szCs w:val="20"/>
              </w:rPr>
              <w:t xml:space="preserve">A tax payer who opted for composition scheme can also supply services up to a value not exceeding 10 % of the turnover or </w:t>
            </w:r>
            <w:proofErr w:type="spellStart"/>
            <w:r w:rsidRPr="00A94043">
              <w:rPr>
                <w:rFonts w:ascii="Verdana" w:eastAsia="Times New Roman" w:hAnsi="Verdana" w:cs="Times New Roman"/>
                <w:sz w:val="20"/>
                <w:szCs w:val="20"/>
              </w:rPr>
              <w:t>Rs</w:t>
            </w:r>
            <w:proofErr w:type="spellEnd"/>
            <w:r w:rsidRPr="00A94043">
              <w:rPr>
                <w:rFonts w:ascii="Verdana" w:eastAsia="Times New Roman" w:hAnsi="Verdana" w:cs="Times New Roman"/>
                <w:sz w:val="20"/>
                <w:szCs w:val="20"/>
              </w:rPr>
              <w:t xml:space="preserve">. 5 Lakhs whichever is higher </w:t>
            </w:r>
            <w:r w:rsidRPr="009C26D7">
              <w:rPr>
                <w:rFonts w:ascii="Verdana" w:eastAsia="Times New Roman" w:hAnsi="Verdana" w:cs="Times New Roman"/>
                <w:sz w:val="20"/>
                <w:szCs w:val="20"/>
              </w:rPr>
              <w:t>as per the s</w:t>
            </w:r>
            <w:r w:rsidRPr="00A94043">
              <w:rPr>
                <w:rFonts w:ascii="Verdana" w:eastAsia="Times New Roman" w:hAnsi="Verdana" w:cs="Times New Roman"/>
                <w:sz w:val="20"/>
                <w:szCs w:val="20"/>
              </w:rPr>
              <w:t>econd proviso to Section 10 of CGST Act</w:t>
            </w:r>
            <w:r w:rsidRPr="009C26D7">
              <w:rPr>
                <w:rFonts w:ascii="Verdana" w:eastAsia="Times New Roman" w:hAnsi="Verdana" w:cs="Times New Roman"/>
                <w:sz w:val="20"/>
                <w:szCs w:val="20"/>
              </w:rPr>
              <w:t>. A</w:t>
            </w:r>
            <w:r w:rsidRPr="00A94043">
              <w:rPr>
                <w:rFonts w:ascii="Verdana" w:eastAsia="Times New Roman" w:hAnsi="Verdana" w:cs="Times New Roman"/>
                <w:sz w:val="20"/>
                <w:szCs w:val="20"/>
              </w:rPr>
              <w:t xml:space="preserve">n explanation </w:t>
            </w:r>
            <w:r w:rsidRPr="009C26D7">
              <w:rPr>
                <w:rFonts w:ascii="Verdana" w:eastAsia="Times New Roman" w:hAnsi="Verdana" w:cs="Times New Roman"/>
                <w:sz w:val="20"/>
                <w:szCs w:val="20"/>
              </w:rPr>
              <w:t xml:space="preserve">has been </w:t>
            </w:r>
            <w:r w:rsidRPr="00A94043">
              <w:rPr>
                <w:rFonts w:ascii="Verdana" w:eastAsia="Times New Roman" w:hAnsi="Verdana" w:cs="Times New Roman"/>
                <w:sz w:val="20"/>
                <w:szCs w:val="20"/>
              </w:rPr>
              <w:t xml:space="preserve">added to the second proviso </w:t>
            </w:r>
            <w:r w:rsidRPr="009C26D7">
              <w:rPr>
                <w:rFonts w:ascii="Verdana" w:eastAsia="Times New Roman" w:hAnsi="Verdana" w:cs="Times New Roman"/>
                <w:sz w:val="20"/>
                <w:szCs w:val="20"/>
              </w:rPr>
              <w:t xml:space="preserve">to Section 10 vide Section 93 of FA 2019 as per which </w:t>
            </w:r>
            <w:r w:rsidRPr="00A94043">
              <w:rPr>
                <w:rFonts w:ascii="Verdana" w:eastAsia="Times New Roman" w:hAnsi="Verdana" w:cs="Times New Roman"/>
                <w:sz w:val="20"/>
                <w:szCs w:val="20"/>
              </w:rPr>
              <w:t>interest earned on deposits, loans or advances shall not be taken into account</w:t>
            </w:r>
            <w:r w:rsidRPr="009C26D7">
              <w:rPr>
                <w:rFonts w:ascii="Verdana" w:eastAsia="Times New Roman" w:hAnsi="Verdana" w:cs="Times New Roman"/>
                <w:sz w:val="20"/>
                <w:szCs w:val="20"/>
              </w:rPr>
              <w:t xml:space="preserve"> </w:t>
            </w:r>
            <w:r w:rsidRPr="00A94043">
              <w:rPr>
                <w:rFonts w:ascii="Verdana" w:eastAsia="Times New Roman" w:hAnsi="Verdana" w:cs="Times New Roman"/>
                <w:sz w:val="20"/>
                <w:szCs w:val="20"/>
              </w:rPr>
              <w:t>for ca</w:t>
            </w:r>
            <w:r w:rsidRPr="009C26D7">
              <w:rPr>
                <w:rFonts w:ascii="Verdana" w:eastAsia="Times New Roman" w:hAnsi="Verdana" w:cs="Times New Roman"/>
                <w:sz w:val="20"/>
                <w:szCs w:val="20"/>
              </w:rPr>
              <w:t>lculating the value of services under Composition Scheme.</w:t>
            </w:r>
          </w:p>
          <w:p w:rsidR="00807E0C" w:rsidRPr="009C26D7" w:rsidRDefault="00807E0C" w:rsidP="00807E0C">
            <w:pPr>
              <w:ind w:firstLine="0"/>
              <w:rPr>
                <w:rFonts w:ascii="Verdana" w:eastAsia="Times New Roman" w:hAnsi="Verdana" w:cs="Times New Roman"/>
                <w:sz w:val="20"/>
                <w:szCs w:val="20"/>
              </w:rPr>
            </w:pPr>
          </w:p>
          <w:p w:rsidR="00807E0C" w:rsidRPr="009C26D7" w:rsidRDefault="00807E0C" w:rsidP="009C26D7">
            <w:pPr>
              <w:rPr>
                <w:rFonts w:ascii="Verdana" w:hAnsi="Verdana"/>
                <w:sz w:val="20"/>
                <w:szCs w:val="20"/>
              </w:rPr>
            </w:pPr>
            <w:r w:rsidRPr="009C26D7">
              <w:rPr>
                <w:rFonts w:ascii="Verdana" w:eastAsia="Times New Roman" w:hAnsi="Verdana" w:cs="Times New Roman"/>
                <w:b/>
                <w:sz w:val="20"/>
                <w:szCs w:val="20"/>
              </w:rPr>
              <w:t>A</w:t>
            </w:r>
            <w:r w:rsidRPr="009C26D7">
              <w:rPr>
                <w:rFonts w:ascii="Verdana" w:hAnsi="Verdana" w:cs="Arial"/>
                <w:b/>
                <w:sz w:val="20"/>
                <w:szCs w:val="20"/>
              </w:rPr>
              <w:t xml:space="preserve">lternative composition scheme for service providers @ 6% rate: </w:t>
            </w:r>
            <w:r w:rsidR="00ED1A5D">
              <w:rPr>
                <w:rFonts w:ascii="Verdana" w:hAnsi="Verdana" w:cs="Arial"/>
                <w:sz w:val="20"/>
                <w:szCs w:val="20"/>
              </w:rPr>
              <w:t>Section 10 of CG</w:t>
            </w:r>
            <w:r w:rsidRPr="009C26D7">
              <w:rPr>
                <w:rFonts w:ascii="Verdana" w:hAnsi="Verdana" w:cs="Arial"/>
                <w:sz w:val="20"/>
                <w:szCs w:val="20"/>
              </w:rPr>
              <w:t>ST Act has been amended so as to</w:t>
            </w:r>
            <w:r w:rsidRPr="009C26D7">
              <w:rPr>
                <w:rFonts w:ascii="Verdana" w:hAnsi="Verdana" w:cs="Arial"/>
                <w:b/>
                <w:sz w:val="20"/>
                <w:szCs w:val="20"/>
              </w:rPr>
              <w:t xml:space="preserve"> </w:t>
            </w:r>
            <w:r w:rsidRPr="009C26D7">
              <w:rPr>
                <w:rFonts w:ascii="Verdana" w:hAnsi="Verdana" w:cs="Arial"/>
                <w:sz w:val="20"/>
                <w:szCs w:val="20"/>
              </w:rPr>
              <w:t>provide an alternate scheme of co</w:t>
            </w:r>
            <w:r w:rsidR="00ED1A5D">
              <w:rPr>
                <w:rFonts w:ascii="Verdana" w:hAnsi="Verdana" w:cs="Arial"/>
                <w:sz w:val="20"/>
                <w:szCs w:val="20"/>
              </w:rPr>
              <w:t>mposition with a tax rate of 6%</w:t>
            </w:r>
            <w:r w:rsidRPr="009C26D7">
              <w:rPr>
                <w:rFonts w:ascii="Verdana" w:hAnsi="Verdana" w:cs="Arial"/>
                <w:sz w:val="20"/>
                <w:szCs w:val="20"/>
              </w:rPr>
              <w:t xml:space="preserve"> for supplier of services having an annual turnover in preceding financial year up to </w:t>
            </w:r>
            <w:proofErr w:type="spellStart"/>
            <w:r w:rsidRPr="009C26D7">
              <w:rPr>
                <w:rFonts w:ascii="Verdana" w:hAnsi="Verdana" w:cs="Arial"/>
                <w:sz w:val="20"/>
                <w:szCs w:val="20"/>
              </w:rPr>
              <w:t>Rs</w:t>
            </w:r>
            <w:proofErr w:type="spellEnd"/>
            <w:r w:rsidRPr="009C26D7">
              <w:rPr>
                <w:rFonts w:ascii="Verdana" w:hAnsi="Verdana" w:cs="Arial"/>
                <w:sz w:val="20"/>
                <w:szCs w:val="20"/>
              </w:rPr>
              <w:t xml:space="preserve">. 50 Lakhs. </w:t>
            </w:r>
          </w:p>
        </w:tc>
      </w:tr>
      <w:tr w:rsidR="00F57D19" w:rsidRPr="009C26D7" w:rsidTr="00ED1A5D">
        <w:trPr>
          <w:trHeight w:val="143"/>
        </w:trPr>
        <w:tc>
          <w:tcPr>
            <w:tcW w:w="1063" w:type="dxa"/>
            <w:vAlign w:val="center"/>
          </w:tcPr>
          <w:p w:rsidR="005F7A5C" w:rsidRPr="009C26D7" w:rsidRDefault="006A77E1" w:rsidP="003438C7">
            <w:pPr>
              <w:spacing w:after="0"/>
              <w:ind w:left="0" w:firstLine="0"/>
              <w:jc w:val="center"/>
              <w:rPr>
                <w:rFonts w:ascii="Verdana" w:hAnsi="Verdana"/>
                <w:sz w:val="20"/>
                <w:szCs w:val="20"/>
              </w:rPr>
            </w:pPr>
            <w:r w:rsidRPr="009C26D7">
              <w:rPr>
                <w:rFonts w:ascii="Verdana" w:hAnsi="Verdana"/>
                <w:sz w:val="20"/>
                <w:szCs w:val="20"/>
              </w:rPr>
              <w:t xml:space="preserve">Section </w:t>
            </w:r>
            <w:r w:rsidR="002F498E" w:rsidRPr="009C26D7">
              <w:rPr>
                <w:rFonts w:ascii="Verdana" w:hAnsi="Verdana"/>
                <w:sz w:val="20"/>
                <w:szCs w:val="20"/>
              </w:rPr>
              <w:t>94</w:t>
            </w:r>
          </w:p>
        </w:tc>
        <w:tc>
          <w:tcPr>
            <w:tcW w:w="963" w:type="dxa"/>
            <w:vAlign w:val="center"/>
          </w:tcPr>
          <w:p w:rsidR="005F7A5C" w:rsidRPr="009C26D7" w:rsidRDefault="006A77E1" w:rsidP="003438C7">
            <w:pPr>
              <w:spacing w:after="0"/>
              <w:ind w:left="0" w:firstLine="0"/>
              <w:jc w:val="center"/>
              <w:rPr>
                <w:rFonts w:ascii="Verdana" w:hAnsi="Verdana"/>
                <w:sz w:val="20"/>
                <w:szCs w:val="20"/>
              </w:rPr>
            </w:pPr>
            <w:r w:rsidRPr="009C26D7">
              <w:rPr>
                <w:rFonts w:ascii="Verdana" w:hAnsi="Verdana"/>
                <w:sz w:val="20"/>
                <w:szCs w:val="20"/>
              </w:rPr>
              <w:t xml:space="preserve">Section </w:t>
            </w:r>
            <w:r w:rsidR="002F498E" w:rsidRPr="009C26D7">
              <w:rPr>
                <w:rFonts w:ascii="Verdana" w:hAnsi="Verdana"/>
                <w:sz w:val="20"/>
                <w:szCs w:val="20"/>
              </w:rPr>
              <w:t>22</w:t>
            </w:r>
          </w:p>
        </w:tc>
        <w:tc>
          <w:tcPr>
            <w:tcW w:w="8104" w:type="dxa"/>
            <w:vAlign w:val="center"/>
          </w:tcPr>
          <w:p w:rsidR="005F7A5C" w:rsidRPr="009C26D7" w:rsidRDefault="00807E0C" w:rsidP="00F57D19">
            <w:pPr>
              <w:spacing w:line="276" w:lineRule="auto"/>
              <w:rPr>
                <w:rFonts w:ascii="Verdana" w:hAnsi="Verdana"/>
                <w:sz w:val="20"/>
                <w:szCs w:val="20"/>
              </w:rPr>
            </w:pPr>
            <w:r w:rsidRPr="009C26D7">
              <w:rPr>
                <w:rFonts w:ascii="Verdana" w:hAnsi="Verdana" w:cs="Arial"/>
                <w:b/>
                <w:sz w:val="20"/>
                <w:szCs w:val="20"/>
              </w:rPr>
              <w:t>Higher exemption threshold limit for supplier of goods</w:t>
            </w:r>
            <w:r w:rsidRPr="009C26D7">
              <w:rPr>
                <w:rFonts w:ascii="Verdana" w:hAnsi="Verdana" w:cs="Arial"/>
                <w:sz w:val="20"/>
                <w:szCs w:val="20"/>
              </w:rPr>
              <w:t xml:space="preserve">: Section 22 of CGST Act has been amended to have two threshold limits for exemption from registration for the suppliers of goods i.e. </w:t>
            </w:r>
            <w:proofErr w:type="spellStart"/>
            <w:r w:rsidRPr="009C26D7">
              <w:rPr>
                <w:rFonts w:ascii="Verdana" w:hAnsi="Verdana" w:cs="Arial"/>
                <w:sz w:val="20"/>
                <w:szCs w:val="20"/>
              </w:rPr>
              <w:t>Rs</w:t>
            </w:r>
            <w:proofErr w:type="spellEnd"/>
            <w:r w:rsidRPr="009C26D7">
              <w:rPr>
                <w:rFonts w:ascii="Verdana" w:hAnsi="Verdana" w:cs="Arial"/>
                <w:sz w:val="20"/>
                <w:szCs w:val="20"/>
              </w:rPr>
              <w:t xml:space="preserve"> 20 lakhs and </w:t>
            </w:r>
            <w:proofErr w:type="spellStart"/>
            <w:r w:rsidRPr="009C26D7">
              <w:rPr>
                <w:rFonts w:ascii="Verdana" w:hAnsi="Verdana" w:cs="Arial"/>
                <w:sz w:val="20"/>
                <w:szCs w:val="20"/>
              </w:rPr>
              <w:t>Rs</w:t>
            </w:r>
            <w:proofErr w:type="spellEnd"/>
            <w:r w:rsidRPr="009C26D7">
              <w:rPr>
                <w:rFonts w:ascii="Verdana" w:hAnsi="Verdana" w:cs="Arial"/>
                <w:sz w:val="20"/>
                <w:szCs w:val="20"/>
              </w:rPr>
              <w:t xml:space="preserve"> 40 lakhs. States have an option to decide about one of the limits. The threshold for registration for service providers would continue to be </w:t>
            </w:r>
            <w:proofErr w:type="spellStart"/>
            <w:r w:rsidRPr="009C26D7">
              <w:rPr>
                <w:rFonts w:ascii="Verdana" w:hAnsi="Verdana" w:cs="Arial"/>
                <w:sz w:val="20"/>
                <w:szCs w:val="20"/>
              </w:rPr>
              <w:t>Rs</w:t>
            </w:r>
            <w:proofErr w:type="spellEnd"/>
            <w:r w:rsidRPr="009C26D7">
              <w:rPr>
                <w:rFonts w:ascii="Verdana" w:hAnsi="Verdana" w:cs="Arial"/>
                <w:sz w:val="20"/>
                <w:szCs w:val="20"/>
              </w:rPr>
              <w:t xml:space="preserve"> 20 lakhs</w:t>
            </w:r>
          </w:p>
        </w:tc>
      </w:tr>
      <w:tr w:rsidR="00F57D19" w:rsidRPr="009C26D7" w:rsidTr="00ED1A5D">
        <w:trPr>
          <w:trHeight w:val="143"/>
        </w:trPr>
        <w:tc>
          <w:tcPr>
            <w:tcW w:w="1063" w:type="dxa"/>
            <w:vAlign w:val="center"/>
          </w:tcPr>
          <w:p w:rsidR="005F7A5C" w:rsidRPr="009C26D7" w:rsidRDefault="006A77E1" w:rsidP="003438C7">
            <w:pPr>
              <w:spacing w:after="0"/>
              <w:ind w:left="0" w:firstLine="0"/>
              <w:jc w:val="center"/>
              <w:rPr>
                <w:rFonts w:ascii="Verdana" w:hAnsi="Verdana"/>
                <w:sz w:val="20"/>
                <w:szCs w:val="20"/>
              </w:rPr>
            </w:pPr>
            <w:r w:rsidRPr="009C26D7">
              <w:rPr>
                <w:rFonts w:ascii="Verdana" w:hAnsi="Verdana"/>
                <w:sz w:val="20"/>
                <w:szCs w:val="20"/>
              </w:rPr>
              <w:t xml:space="preserve">Section </w:t>
            </w:r>
            <w:r w:rsidR="000A4822" w:rsidRPr="009C26D7">
              <w:rPr>
                <w:rFonts w:ascii="Verdana" w:hAnsi="Verdana"/>
                <w:sz w:val="20"/>
                <w:szCs w:val="20"/>
              </w:rPr>
              <w:t>95</w:t>
            </w:r>
          </w:p>
        </w:tc>
        <w:tc>
          <w:tcPr>
            <w:tcW w:w="963" w:type="dxa"/>
            <w:vAlign w:val="center"/>
          </w:tcPr>
          <w:p w:rsidR="005F7A5C" w:rsidRPr="009C26D7" w:rsidRDefault="006A77E1" w:rsidP="003438C7">
            <w:pPr>
              <w:spacing w:after="0"/>
              <w:ind w:left="0" w:firstLine="0"/>
              <w:jc w:val="center"/>
              <w:rPr>
                <w:rFonts w:ascii="Verdana" w:hAnsi="Verdana"/>
                <w:sz w:val="20"/>
                <w:szCs w:val="20"/>
              </w:rPr>
            </w:pPr>
            <w:r w:rsidRPr="009C26D7">
              <w:rPr>
                <w:rFonts w:ascii="Verdana" w:hAnsi="Verdana"/>
                <w:sz w:val="20"/>
                <w:szCs w:val="20"/>
              </w:rPr>
              <w:t xml:space="preserve">Section </w:t>
            </w:r>
            <w:r w:rsidR="000A4822" w:rsidRPr="009C26D7">
              <w:rPr>
                <w:rFonts w:ascii="Verdana" w:hAnsi="Verdana"/>
                <w:sz w:val="20"/>
                <w:szCs w:val="20"/>
              </w:rPr>
              <w:t>25</w:t>
            </w:r>
          </w:p>
        </w:tc>
        <w:tc>
          <w:tcPr>
            <w:tcW w:w="8104" w:type="dxa"/>
            <w:vAlign w:val="center"/>
          </w:tcPr>
          <w:p w:rsidR="005F7A5C" w:rsidRPr="009C26D7" w:rsidRDefault="00807E0C" w:rsidP="009C26D7">
            <w:pPr>
              <w:rPr>
                <w:rFonts w:ascii="Verdana" w:hAnsi="Verdana"/>
                <w:sz w:val="20"/>
                <w:szCs w:val="20"/>
              </w:rPr>
            </w:pPr>
            <w:r w:rsidRPr="009C26D7">
              <w:rPr>
                <w:rFonts w:ascii="Verdana" w:hAnsi="Verdana" w:cs="Arial"/>
                <w:b/>
                <w:sz w:val="20"/>
                <w:szCs w:val="20"/>
              </w:rPr>
              <w:t xml:space="preserve">Mandatory </w:t>
            </w:r>
            <w:proofErr w:type="spellStart"/>
            <w:r w:rsidRPr="009C26D7">
              <w:rPr>
                <w:rFonts w:ascii="Verdana" w:hAnsi="Verdana" w:cs="Arial"/>
                <w:b/>
                <w:sz w:val="20"/>
                <w:szCs w:val="20"/>
              </w:rPr>
              <w:t>Aadhaar</w:t>
            </w:r>
            <w:proofErr w:type="spellEnd"/>
            <w:r w:rsidRPr="009C26D7">
              <w:rPr>
                <w:rFonts w:ascii="Verdana" w:hAnsi="Verdana" w:cs="Arial"/>
                <w:b/>
                <w:sz w:val="20"/>
                <w:szCs w:val="20"/>
              </w:rPr>
              <w:t xml:space="preserve"> submission for Registration</w:t>
            </w:r>
            <w:r w:rsidRPr="009C26D7">
              <w:rPr>
                <w:rFonts w:ascii="Verdana" w:hAnsi="Verdana" w:cs="Arial"/>
                <w:sz w:val="20"/>
                <w:szCs w:val="20"/>
              </w:rPr>
              <w:t xml:space="preserve">: Section 25 of the CGST Act has been amended to provide for mandatory </w:t>
            </w:r>
            <w:r w:rsidRPr="009C26D7">
              <w:rPr>
                <w:rFonts w:ascii="Verdana" w:hAnsi="Verdana"/>
                <w:sz w:val="20"/>
                <w:szCs w:val="20"/>
              </w:rPr>
              <w:t xml:space="preserve">authentication using </w:t>
            </w:r>
            <w:proofErr w:type="spellStart"/>
            <w:r w:rsidRPr="009C26D7">
              <w:rPr>
                <w:rFonts w:ascii="Verdana" w:hAnsi="Verdana"/>
                <w:sz w:val="20"/>
                <w:szCs w:val="20"/>
              </w:rPr>
              <w:t>Aadhaar</w:t>
            </w:r>
            <w:proofErr w:type="spellEnd"/>
            <w:r w:rsidRPr="009C26D7">
              <w:rPr>
                <w:rFonts w:ascii="Verdana" w:hAnsi="Verdana"/>
                <w:sz w:val="20"/>
                <w:szCs w:val="20"/>
              </w:rPr>
              <w:t xml:space="preserve"> number or other alternative and viable means of identification for every registered person under GST. Failure to undergo authentication would deem the registration invalid followed by legal consequences as if such person does not have a registration.</w:t>
            </w:r>
          </w:p>
        </w:tc>
      </w:tr>
      <w:tr w:rsidR="00F57D19" w:rsidRPr="009C26D7" w:rsidTr="00ED1A5D">
        <w:trPr>
          <w:trHeight w:val="143"/>
        </w:trPr>
        <w:tc>
          <w:tcPr>
            <w:tcW w:w="1063" w:type="dxa"/>
            <w:vAlign w:val="center"/>
          </w:tcPr>
          <w:p w:rsidR="005F7A5C" w:rsidRPr="009C26D7" w:rsidRDefault="006A77E1" w:rsidP="003438C7">
            <w:pPr>
              <w:spacing w:after="0"/>
              <w:ind w:left="0" w:firstLine="0"/>
              <w:jc w:val="center"/>
              <w:rPr>
                <w:rFonts w:ascii="Verdana" w:hAnsi="Verdana"/>
                <w:sz w:val="20"/>
                <w:szCs w:val="20"/>
              </w:rPr>
            </w:pPr>
            <w:r w:rsidRPr="009C26D7">
              <w:rPr>
                <w:rFonts w:ascii="Verdana" w:hAnsi="Verdana"/>
                <w:sz w:val="20"/>
                <w:szCs w:val="20"/>
              </w:rPr>
              <w:t xml:space="preserve">Section </w:t>
            </w:r>
            <w:r w:rsidR="00987FC3" w:rsidRPr="009C26D7">
              <w:rPr>
                <w:rFonts w:ascii="Verdana" w:hAnsi="Verdana"/>
                <w:sz w:val="20"/>
                <w:szCs w:val="20"/>
              </w:rPr>
              <w:t>96</w:t>
            </w:r>
          </w:p>
        </w:tc>
        <w:tc>
          <w:tcPr>
            <w:tcW w:w="963" w:type="dxa"/>
            <w:vAlign w:val="center"/>
          </w:tcPr>
          <w:p w:rsidR="005F7A5C" w:rsidRPr="009C26D7" w:rsidRDefault="006A77E1" w:rsidP="003438C7">
            <w:pPr>
              <w:spacing w:after="0"/>
              <w:ind w:left="0" w:firstLine="0"/>
              <w:jc w:val="center"/>
              <w:rPr>
                <w:rFonts w:ascii="Verdana" w:hAnsi="Verdana"/>
                <w:sz w:val="20"/>
                <w:szCs w:val="20"/>
              </w:rPr>
            </w:pPr>
            <w:r w:rsidRPr="009C26D7">
              <w:rPr>
                <w:rFonts w:ascii="Verdana" w:hAnsi="Verdana"/>
                <w:sz w:val="20"/>
                <w:szCs w:val="20"/>
              </w:rPr>
              <w:t xml:space="preserve">Section </w:t>
            </w:r>
            <w:r w:rsidR="00987FC3" w:rsidRPr="009C26D7">
              <w:rPr>
                <w:rFonts w:ascii="Verdana" w:hAnsi="Verdana"/>
                <w:sz w:val="20"/>
                <w:szCs w:val="20"/>
              </w:rPr>
              <w:t>31A</w:t>
            </w:r>
          </w:p>
        </w:tc>
        <w:tc>
          <w:tcPr>
            <w:tcW w:w="8104" w:type="dxa"/>
            <w:vAlign w:val="center"/>
          </w:tcPr>
          <w:p w:rsidR="005F7A5C" w:rsidRPr="009C26D7" w:rsidRDefault="00807E0C" w:rsidP="00F57D19">
            <w:pPr>
              <w:rPr>
                <w:rFonts w:ascii="Verdana" w:hAnsi="Verdana"/>
                <w:sz w:val="20"/>
                <w:szCs w:val="20"/>
              </w:rPr>
            </w:pPr>
            <w:r w:rsidRPr="009C26D7">
              <w:rPr>
                <w:rFonts w:ascii="Verdana" w:hAnsi="Verdana" w:cs="Arial"/>
                <w:b/>
                <w:sz w:val="20"/>
                <w:szCs w:val="20"/>
              </w:rPr>
              <w:t>Digital payment</w:t>
            </w:r>
            <w:r w:rsidRPr="009C26D7">
              <w:rPr>
                <w:rFonts w:ascii="Verdana" w:hAnsi="Verdana" w:cs="Arial"/>
                <w:sz w:val="20"/>
                <w:szCs w:val="20"/>
              </w:rPr>
              <w:t>: New section 31A introduced to provide that specified category of supplier of goods or service shall mandatorily offer facility for digital payments to their  recipient</w:t>
            </w:r>
          </w:p>
        </w:tc>
      </w:tr>
      <w:tr w:rsidR="00F57D19" w:rsidRPr="009C26D7" w:rsidTr="00ED1A5D">
        <w:trPr>
          <w:trHeight w:val="143"/>
        </w:trPr>
        <w:tc>
          <w:tcPr>
            <w:tcW w:w="1063" w:type="dxa"/>
            <w:vAlign w:val="center"/>
          </w:tcPr>
          <w:p w:rsidR="005F7A5C" w:rsidRPr="009C26D7" w:rsidRDefault="006A77E1" w:rsidP="00915291">
            <w:pPr>
              <w:spacing w:after="0" w:line="276" w:lineRule="auto"/>
              <w:ind w:left="0" w:firstLine="0"/>
              <w:jc w:val="center"/>
              <w:rPr>
                <w:rFonts w:ascii="Verdana" w:hAnsi="Verdana"/>
                <w:sz w:val="20"/>
                <w:szCs w:val="20"/>
              </w:rPr>
            </w:pPr>
            <w:r w:rsidRPr="009C26D7">
              <w:rPr>
                <w:rFonts w:ascii="Verdana" w:hAnsi="Verdana"/>
                <w:sz w:val="20"/>
                <w:szCs w:val="20"/>
              </w:rPr>
              <w:t xml:space="preserve">Section </w:t>
            </w:r>
            <w:r w:rsidR="00FA4908" w:rsidRPr="009C26D7">
              <w:rPr>
                <w:rFonts w:ascii="Verdana" w:hAnsi="Verdana"/>
                <w:sz w:val="20"/>
                <w:szCs w:val="20"/>
              </w:rPr>
              <w:t>99</w:t>
            </w:r>
          </w:p>
        </w:tc>
        <w:tc>
          <w:tcPr>
            <w:tcW w:w="963" w:type="dxa"/>
            <w:vAlign w:val="center"/>
          </w:tcPr>
          <w:p w:rsidR="005F7A5C" w:rsidRPr="009C26D7" w:rsidRDefault="006A77E1" w:rsidP="00915291">
            <w:pPr>
              <w:spacing w:after="0" w:line="276" w:lineRule="auto"/>
              <w:ind w:left="0" w:firstLine="0"/>
              <w:jc w:val="center"/>
              <w:rPr>
                <w:rFonts w:ascii="Verdana" w:hAnsi="Verdana"/>
                <w:sz w:val="20"/>
                <w:szCs w:val="20"/>
              </w:rPr>
            </w:pPr>
            <w:r w:rsidRPr="009C26D7">
              <w:rPr>
                <w:rFonts w:ascii="Verdana" w:hAnsi="Verdana"/>
                <w:sz w:val="20"/>
                <w:szCs w:val="20"/>
              </w:rPr>
              <w:t xml:space="preserve">Section </w:t>
            </w:r>
            <w:r w:rsidR="00FA4908" w:rsidRPr="009C26D7">
              <w:rPr>
                <w:rFonts w:ascii="Verdana" w:hAnsi="Verdana"/>
                <w:sz w:val="20"/>
                <w:szCs w:val="20"/>
              </w:rPr>
              <w:t>49</w:t>
            </w:r>
          </w:p>
        </w:tc>
        <w:tc>
          <w:tcPr>
            <w:tcW w:w="8104" w:type="dxa"/>
            <w:vAlign w:val="center"/>
          </w:tcPr>
          <w:p w:rsidR="00FA5898" w:rsidRDefault="00807E0C" w:rsidP="00F57D19">
            <w:pPr>
              <w:rPr>
                <w:rFonts w:ascii="Verdana" w:hAnsi="Verdana" w:cs="Arial"/>
                <w:sz w:val="20"/>
                <w:szCs w:val="20"/>
              </w:rPr>
            </w:pPr>
            <w:r w:rsidRPr="009C26D7">
              <w:rPr>
                <w:rFonts w:ascii="Verdana" w:hAnsi="Verdana" w:cs="Arial"/>
                <w:b/>
                <w:sz w:val="20"/>
                <w:szCs w:val="20"/>
              </w:rPr>
              <w:t>Transfer of amount from one head to another head in the cash ledger</w:t>
            </w:r>
            <w:r w:rsidRPr="009C26D7">
              <w:rPr>
                <w:rFonts w:ascii="Verdana" w:hAnsi="Verdana" w:cs="Arial"/>
                <w:sz w:val="20"/>
                <w:szCs w:val="20"/>
              </w:rPr>
              <w:t xml:space="preserve">: Section 49 of the CGST Act has been amended to provide facility to the tax payer to transfer </w:t>
            </w:r>
            <w:r w:rsidRPr="009C26D7">
              <w:rPr>
                <w:rFonts w:ascii="Verdana" w:hAnsi="Verdana"/>
                <w:sz w:val="20"/>
                <w:szCs w:val="20"/>
              </w:rPr>
              <w:t>tax, interest, penalty, fee or any other amount</w:t>
            </w:r>
            <w:r w:rsidRPr="009C26D7">
              <w:rPr>
                <w:rFonts w:ascii="Verdana" w:hAnsi="Verdana" w:cs="Arial"/>
                <w:sz w:val="20"/>
                <w:szCs w:val="20"/>
              </w:rPr>
              <w:t xml:space="preserve"> from one head to another in the electronic cash ledger.</w:t>
            </w:r>
          </w:p>
          <w:p w:rsidR="009C26D7" w:rsidRPr="009C26D7" w:rsidRDefault="009C26D7" w:rsidP="00F57D19">
            <w:pPr>
              <w:rPr>
                <w:rFonts w:ascii="Verdana" w:hAnsi="Verdana"/>
                <w:sz w:val="20"/>
                <w:szCs w:val="20"/>
              </w:rPr>
            </w:pPr>
          </w:p>
        </w:tc>
      </w:tr>
      <w:tr w:rsidR="00F57D19" w:rsidRPr="009C26D7" w:rsidTr="00ED1A5D">
        <w:trPr>
          <w:trHeight w:val="743"/>
        </w:trPr>
        <w:tc>
          <w:tcPr>
            <w:tcW w:w="1063" w:type="dxa"/>
            <w:vAlign w:val="center"/>
          </w:tcPr>
          <w:p w:rsidR="00FA4908" w:rsidRPr="009C26D7" w:rsidRDefault="006A77E1" w:rsidP="00915291">
            <w:pPr>
              <w:spacing w:after="0" w:line="276" w:lineRule="auto"/>
              <w:ind w:left="0" w:firstLine="0"/>
              <w:jc w:val="center"/>
              <w:rPr>
                <w:rFonts w:ascii="Verdana" w:hAnsi="Verdana"/>
                <w:sz w:val="20"/>
                <w:szCs w:val="20"/>
              </w:rPr>
            </w:pPr>
            <w:r w:rsidRPr="009C26D7">
              <w:rPr>
                <w:rFonts w:ascii="Verdana" w:hAnsi="Verdana"/>
                <w:sz w:val="20"/>
                <w:szCs w:val="20"/>
              </w:rPr>
              <w:lastRenderedPageBreak/>
              <w:t xml:space="preserve">Section </w:t>
            </w:r>
            <w:r w:rsidR="00FA4908" w:rsidRPr="009C26D7">
              <w:rPr>
                <w:rFonts w:ascii="Verdana" w:hAnsi="Verdana"/>
                <w:sz w:val="20"/>
                <w:szCs w:val="20"/>
              </w:rPr>
              <w:t>102</w:t>
            </w:r>
          </w:p>
        </w:tc>
        <w:tc>
          <w:tcPr>
            <w:tcW w:w="963" w:type="dxa"/>
            <w:vAlign w:val="center"/>
          </w:tcPr>
          <w:p w:rsidR="00FA4908" w:rsidRPr="009C26D7" w:rsidRDefault="00FA4908" w:rsidP="003F02D5">
            <w:pPr>
              <w:spacing w:after="0" w:line="276" w:lineRule="auto"/>
              <w:ind w:left="0" w:firstLine="0"/>
              <w:jc w:val="center"/>
              <w:rPr>
                <w:rFonts w:ascii="Verdana" w:hAnsi="Verdana"/>
                <w:sz w:val="20"/>
                <w:szCs w:val="20"/>
              </w:rPr>
            </w:pPr>
            <w:r w:rsidRPr="009C26D7">
              <w:rPr>
                <w:rFonts w:ascii="Verdana" w:hAnsi="Verdana"/>
                <w:sz w:val="20"/>
                <w:szCs w:val="20"/>
              </w:rPr>
              <w:t>Section 53A</w:t>
            </w:r>
            <w:r w:rsidR="004E5DE0" w:rsidRPr="009C26D7">
              <w:rPr>
                <w:rFonts w:ascii="Verdana" w:hAnsi="Verdana"/>
                <w:sz w:val="20"/>
                <w:szCs w:val="20"/>
              </w:rPr>
              <w:t xml:space="preserve">  </w:t>
            </w:r>
          </w:p>
        </w:tc>
        <w:tc>
          <w:tcPr>
            <w:tcW w:w="8104" w:type="dxa"/>
            <w:vAlign w:val="center"/>
          </w:tcPr>
          <w:p w:rsidR="00FA4908" w:rsidRPr="009C26D7" w:rsidRDefault="00807E0C" w:rsidP="00F57D19">
            <w:pPr>
              <w:rPr>
                <w:rFonts w:ascii="Verdana" w:hAnsi="Verdana"/>
                <w:sz w:val="20"/>
                <w:szCs w:val="20"/>
              </w:rPr>
            </w:pPr>
            <w:r w:rsidRPr="009C26D7">
              <w:rPr>
                <w:rFonts w:ascii="Verdana" w:hAnsi="Verdana" w:cs="Arial"/>
                <w:b/>
                <w:sz w:val="20"/>
                <w:szCs w:val="20"/>
              </w:rPr>
              <w:t>Section 53A</w:t>
            </w:r>
            <w:r w:rsidRPr="009C26D7">
              <w:rPr>
                <w:rFonts w:ascii="Verdana" w:hAnsi="Verdana" w:cs="Arial"/>
                <w:sz w:val="20"/>
                <w:szCs w:val="20"/>
              </w:rPr>
              <w:t xml:space="preserve"> introduced so as to provide for transfer of amount in the c cash ledger between the Centre and States as a consequence of the new facility given to the tax payer under section 49</w:t>
            </w:r>
          </w:p>
        </w:tc>
      </w:tr>
      <w:tr w:rsidR="00F57D19" w:rsidRPr="009C26D7" w:rsidTr="00ED1A5D">
        <w:trPr>
          <w:trHeight w:val="50"/>
        </w:trPr>
        <w:tc>
          <w:tcPr>
            <w:tcW w:w="1063" w:type="dxa"/>
            <w:vAlign w:val="center"/>
          </w:tcPr>
          <w:p w:rsidR="00FA4908" w:rsidRPr="009C26D7" w:rsidRDefault="006A77E1" w:rsidP="00915291">
            <w:pPr>
              <w:spacing w:after="0" w:line="276" w:lineRule="auto"/>
              <w:ind w:left="0" w:firstLine="0"/>
              <w:jc w:val="center"/>
              <w:rPr>
                <w:rFonts w:ascii="Verdana" w:hAnsi="Verdana"/>
                <w:sz w:val="20"/>
                <w:szCs w:val="20"/>
              </w:rPr>
            </w:pPr>
            <w:r w:rsidRPr="009C26D7">
              <w:rPr>
                <w:rFonts w:ascii="Verdana" w:hAnsi="Verdana"/>
                <w:sz w:val="20"/>
                <w:szCs w:val="20"/>
              </w:rPr>
              <w:t xml:space="preserve">Section </w:t>
            </w:r>
            <w:r w:rsidR="004E5DE0" w:rsidRPr="009C26D7">
              <w:rPr>
                <w:rFonts w:ascii="Verdana" w:hAnsi="Verdana"/>
                <w:sz w:val="20"/>
                <w:szCs w:val="20"/>
              </w:rPr>
              <w:t>112</w:t>
            </w:r>
          </w:p>
        </w:tc>
        <w:tc>
          <w:tcPr>
            <w:tcW w:w="963" w:type="dxa"/>
            <w:vAlign w:val="center"/>
          </w:tcPr>
          <w:p w:rsidR="00FA4908" w:rsidRPr="009C26D7" w:rsidRDefault="006A77E1" w:rsidP="00915291">
            <w:pPr>
              <w:spacing w:after="0" w:line="276" w:lineRule="auto"/>
              <w:ind w:left="0" w:firstLine="0"/>
              <w:jc w:val="center"/>
              <w:rPr>
                <w:rFonts w:ascii="Verdana" w:hAnsi="Verdana"/>
                <w:sz w:val="20"/>
                <w:szCs w:val="20"/>
              </w:rPr>
            </w:pPr>
            <w:r w:rsidRPr="009C26D7">
              <w:rPr>
                <w:rFonts w:ascii="Verdana" w:hAnsi="Verdana"/>
                <w:sz w:val="20"/>
                <w:szCs w:val="20"/>
              </w:rPr>
              <w:t xml:space="preserve">Section </w:t>
            </w:r>
            <w:r w:rsidR="004E5DE0" w:rsidRPr="009C26D7">
              <w:rPr>
                <w:rFonts w:ascii="Verdana" w:hAnsi="Verdana"/>
                <w:sz w:val="20"/>
                <w:szCs w:val="20"/>
              </w:rPr>
              <w:t>171</w:t>
            </w:r>
          </w:p>
        </w:tc>
        <w:tc>
          <w:tcPr>
            <w:tcW w:w="8104" w:type="dxa"/>
            <w:vAlign w:val="center"/>
          </w:tcPr>
          <w:p w:rsidR="00FA4908" w:rsidRPr="009C26D7" w:rsidRDefault="0079292C" w:rsidP="00915291">
            <w:pPr>
              <w:spacing w:after="0" w:line="276" w:lineRule="auto"/>
              <w:ind w:left="0" w:firstLine="0"/>
              <w:rPr>
                <w:rFonts w:ascii="Verdana" w:hAnsi="Verdana"/>
                <w:sz w:val="20"/>
                <w:szCs w:val="20"/>
              </w:rPr>
            </w:pPr>
            <w:r>
              <w:rPr>
                <w:rFonts w:ascii="Verdana" w:hAnsi="Verdana"/>
                <w:b/>
                <w:sz w:val="20"/>
                <w:szCs w:val="20"/>
              </w:rPr>
              <w:t>Anti-</w:t>
            </w:r>
            <w:r w:rsidR="003F02D5" w:rsidRPr="009C26D7">
              <w:rPr>
                <w:rFonts w:ascii="Verdana" w:hAnsi="Verdana"/>
                <w:b/>
                <w:sz w:val="20"/>
                <w:szCs w:val="20"/>
              </w:rPr>
              <w:t>profiteering authority empowered to impose penalty</w:t>
            </w:r>
            <w:r w:rsidR="003F02D5" w:rsidRPr="009C26D7">
              <w:rPr>
                <w:rFonts w:ascii="Verdana" w:hAnsi="Verdana"/>
                <w:sz w:val="20"/>
                <w:szCs w:val="20"/>
              </w:rPr>
              <w:t>: National Anti-Profiteering Authority empowered to impose penalty equivalent to 10% of profiteered amount. Further it has been provided that no penalty shall be imposed if the profiteered amount is paid within 30 days of passing of order by the NAPA.</w:t>
            </w:r>
          </w:p>
        </w:tc>
      </w:tr>
    </w:tbl>
    <w:p w:rsidR="005F7A5C" w:rsidRPr="007352E3" w:rsidRDefault="005F7A5C" w:rsidP="00320DFC">
      <w:pPr>
        <w:rPr>
          <w:rFonts w:ascii="Verdana" w:hAnsi="Verdana"/>
          <w:sz w:val="22"/>
        </w:rPr>
      </w:pPr>
    </w:p>
    <w:p w:rsidR="005F7A5C" w:rsidRPr="007352E3" w:rsidRDefault="005F7A5C" w:rsidP="00320DFC">
      <w:pPr>
        <w:rPr>
          <w:rFonts w:ascii="Verdana" w:hAnsi="Verdana"/>
          <w:b/>
          <w:sz w:val="22"/>
          <w:u w:val="single"/>
        </w:rPr>
      </w:pPr>
    </w:p>
    <w:p w:rsidR="005F7A5C" w:rsidRPr="007352E3" w:rsidRDefault="00BF1833" w:rsidP="00915291">
      <w:pPr>
        <w:spacing w:after="0" w:line="276" w:lineRule="auto"/>
        <w:rPr>
          <w:rFonts w:ascii="Verdana" w:hAnsi="Verdana"/>
          <w:b/>
          <w:sz w:val="22"/>
          <w:u w:val="single"/>
        </w:rPr>
      </w:pPr>
      <w:r w:rsidRPr="007352E3">
        <w:rPr>
          <w:rFonts w:ascii="Verdana" w:hAnsi="Verdana"/>
          <w:b/>
          <w:sz w:val="22"/>
          <w:u w:val="single"/>
        </w:rPr>
        <w:t xml:space="preserve">2. </w:t>
      </w:r>
      <w:r w:rsidR="005E573B" w:rsidRPr="007352E3">
        <w:rPr>
          <w:rFonts w:ascii="Verdana" w:hAnsi="Verdana"/>
          <w:b/>
          <w:sz w:val="22"/>
          <w:u w:val="single"/>
        </w:rPr>
        <w:t>Notification 02/2020-CT dated 01.01.2020</w:t>
      </w:r>
    </w:p>
    <w:p w:rsidR="005E573B" w:rsidRPr="007352E3" w:rsidRDefault="0079292C" w:rsidP="0079292C">
      <w:pPr>
        <w:tabs>
          <w:tab w:val="left" w:pos="6730"/>
        </w:tabs>
        <w:spacing w:after="0" w:line="276" w:lineRule="auto"/>
        <w:rPr>
          <w:rFonts w:ascii="Verdana" w:hAnsi="Verdana"/>
          <w:sz w:val="22"/>
        </w:rPr>
      </w:pPr>
      <w:r>
        <w:rPr>
          <w:rFonts w:ascii="Verdana" w:hAnsi="Verdana"/>
          <w:sz w:val="22"/>
        </w:rPr>
        <w:tab/>
      </w:r>
      <w:r>
        <w:rPr>
          <w:rFonts w:ascii="Verdana" w:hAnsi="Verdana"/>
          <w:sz w:val="22"/>
        </w:rPr>
        <w:tab/>
      </w:r>
      <w:bookmarkStart w:id="0" w:name="_GoBack"/>
      <w:bookmarkEnd w:id="0"/>
    </w:p>
    <w:p w:rsidR="005E573B" w:rsidRPr="007352E3" w:rsidRDefault="005E573B" w:rsidP="00915291">
      <w:pPr>
        <w:spacing w:after="0" w:line="276" w:lineRule="auto"/>
        <w:ind w:left="20"/>
        <w:rPr>
          <w:rFonts w:ascii="Verdana" w:hAnsi="Verdana"/>
          <w:sz w:val="22"/>
        </w:rPr>
      </w:pPr>
      <w:r w:rsidRPr="007352E3">
        <w:rPr>
          <w:rFonts w:ascii="Verdana" w:hAnsi="Verdana"/>
          <w:sz w:val="22"/>
        </w:rPr>
        <w:t xml:space="preserve">a. </w:t>
      </w:r>
      <w:r w:rsidRPr="006A77E1">
        <w:rPr>
          <w:rFonts w:ascii="Verdana" w:hAnsi="Verdana"/>
          <w:b/>
          <w:sz w:val="22"/>
        </w:rPr>
        <w:t xml:space="preserve">Amendment </w:t>
      </w:r>
      <w:r w:rsidR="006A77E1" w:rsidRPr="006A77E1">
        <w:rPr>
          <w:rFonts w:ascii="Verdana" w:hAnsi="Verdana"/>
          <w:b/>
          <w:sz w:val="22"/>
        </w:rPr>
        <w:t>to</w:t>
      </w:r>
      <w:r w:rsidRPr="006A77E1">
        <w:rPr>
          <w:rFonts w:ascii="Verdana" w:hAnsi="Verdana"/>
          <w:b/>
          <w:sz w:val="22"/>
        </w:rPr>
        <w:t xml:space="preserve"> Rule 117</w:t>
      </w:r>
      <w:r w:rsidRPr="007352E3">
        <w:rPr>
          <w:rFonts w:ascii="Verdana" w:hAnsi="Verdana"/>
          <w:sz w:val="22"/>
        </w:rPr>
        <w:t>: The commissioner upon recommendations of the council has been empowered to extend the date fo</w:t>
      </w:r>
      <w:r w:rsidR="00ED1A5D">
        <w:rPr>
          <w:rFonts w:ascii="Verdana" w:hAnsi="Verdana"/>
          <w:sz w:val="22"/>
        </w:rPr>
        <w:t>r furnishing</w:t>
      </w:r>
      <w:r w:rsidR="006A77E1">
        <w:rPr>
          <w:rFonts w:ascii="Verdana" w:hAnsi="Verdana"/>
          <w:sz w:val="22"/>
        </w:rPr>
        <w:t xml:space="preserve"> declaration in </w:t>
      </w:r>
      <w:r w:rsidRPr="007352E3">
        <w:rPr>
          <w:rFonts w:ascii="Verdana" w:hAnsi="Verdana"/>
          <w:sz w:val="22"/>
        </w:rPr>
        <w:t>Tran-01  up</w:t>
      </w:r>
      <w:r w:rsidR="006A77E1">
        <w:rPr>
          <w:rFonts w:ascii="Verdana" w:hAnsi="Verdana"/>
          <w:sz w:val="22"/>
        </w:rPr>
        <w:t xml:space="preserve"> </w:t>
      </w:r>
      <w:r w:rsidRPr="007352E3">
        <w:rPr>
          <w:rFonts w:ascii="Verdana" w:hAnsi="Verdana"/>
          <w:sz w:val="22"/>
        </w:rPr>
        <w:t>to 31.03.2020</w:t>
      </w:r>
      <w:r w:rsidR="00F57D19">
        <w:rPr>
          <w:rFonts w:ascii="Verdana" w:hAnsi="Verdana"/>
          <w:sz w:val="22"/>
        </w:rPr>
        <w:t xml:space="preserve"> in respect of the</w:t>
      </w:r>
      <w:r w:rsidRPr="007352E3">
        <w:rPr>
          <w:rFonts w:ascii="Verdana" w:hAnsi="Verdana"/>
          <w:sz w:val="22"/>
        </w:rPr>
        <w:t xml:space="preserve"> persons who could not </w:t>
      </w:r>
      <w:r w:rsidR="00ED1A5D">
        <w:rPr>
          <w:rFonts w:ascii="Verdana" w:hAnsi="Verdana"/>
          <w:sz w:val="22"/>
        </w:rPr>
        <w:t>furnish</w:t>
      </w:r>
      <w:r w:rsidRPr="007352E3">
        <w:rPr>
          <w:rFonts w:ascii="Verdana" w:hAnsi="Verdana"/>
          <w:sz w:val="22"/>
        </w:rPr>
        <w:t xml:space="preserve"> declaration within the prescribed time limit on account of technical gl</w:t>
      </w:r>
      <w:r w:rsidR="00DA7B83" w:rsidRPr="007352E3">
        <w:rPr>
          <w:rFonts w:ascii="Verdana" w:hAnsi="Verdana"/>
          <w:sz w:val="22"/>
        </w:rPr>
        <w:t>itches. Similarly, Tran -02 due-</w:t>
      </w:r>
      <w:r w:rsidRPr="007352E3">
        <w:rPr>
          <w:rFonts w:ascii="Verdana" w:hAnsi="Verdana"/>
          <w:sz w:val="22"/>
        </w:rPr>
        <w:t xml:space="preserve">date </w:t>
      </w:r>
      <w:r w:rsidR="006A77E1">
        <w:rPr>
          <w:rFonts w:ascii="Verdana" w:hAnsi="Verdana"/>
          <w:sz w:val="22"/>
        </w:rPr>
        <w:t>has been</w:t>
      </w:r>
      <w:r w:rsidRPr="007352E3">
        <w:rPr>
          <w:rFonts w:ascii="Verdana" w:hAnsi="Verdana"/>
          <w:sz w:val="22"/>
        </w:rPr>
        <w:t xml:space="preserve"> extended up</w:t>
      </w:r>
      <w:r w:rsidR="006A77E1">
        <w:rPr>
          <w:rFonts w:ascii="Verdana" w:hAnsi="Verdana"/>
          <w:sz w:val="22"/>
        </w:rPr>
        <w:t xml:space="preserve"> </w:t>
      </w:r>
      <w:r w:rsidRPr="007352E3">
        <w:rPr>
          <w:rFonts w:ascii="Verdana" w:hAnsi="Verdana"/>
          <w:sz w:val="22"/>
        </w:rPr>
        <w:t>to 30.04.2020.</w:t>
      </w:r>
    </w:p>
    <w:p w:rsidR="005E573B" w:rsidRPr="007352E3" w:rsidRDefault="005E573B" w:rsidP="00915291">
      <w:pPr>
        <w:spacing w:after="0" w:line="276" w:lineRule="auto"/>
        <w:ind w:left="20"/>
        <w:rPr>
          <w:rFonts w:ascii="Verdana" w:hAnsi="Verdana"/>
          <w:sz w:val="22"/>
        </w:rPr>
      </w:pPr>
    </w:p>
    <w:p w:rsidR="005E573B" w:rsidRPr="007352E3" w:rsidRDefault="005E573B" w:rsidP="00915291">
      <w:pPr>
        <w:spacing w:after="0" w:line="276" w:lineRule="auto"/>
        <w:ind w:firstLine="0"/>
        <w:rPr>
          <w:rFonts w:ascii="Verdana" w:hAnsi="Verdana"/>
          <w:sz w:val="22"/>
        </w:rPr>
      </w:pPr>
      <w:r w:rsidRPr="007352E3">
        <w:rPr>
          <w:rFonts w:ascii="Verdana" w:hAnsi="Verdana"/>
          <w:sz w:val="22"/>
        </w:rPr>
        <w:t xml:space="preserve">b. </w:t>
      </w:r>
      <w:r w:rsidR="006A77E1" w:rsidRPr="006A77E1">
        <w:rPr>
          <w:rFonts w:ascii="Verdana" w:hAnsi="Verdana"/>
          <w:b/>
          <w:sz w:val="22"/>
        </w:rPr>
        <w:t>Registration form amended</w:t>
      </w:r>
      <w:r w:rsidR="006A77E1">
        <w:rPr>
          <w:rFonts w:ascii="Verdana" w:hAnsi="Verdana"/>
          <w:sz w:val="22"/>
        </w:rPr>
        <w:t xml:space="preserve">: In the cases of SEZ Registration, the </w:t>
      </w:r>
      <w:r w:rsidRPr="007352E3">
        <w:rPr>
          <w:rFonts w:ascii="Verdana" w:hAnsi="Verdana"/>
          <w:sz w:val="22"/>
        </w:rPr>
        <w:t xml:space="preserve">Form Reg-01 has been modified to </w:t>
      </w:r>
      <w:r w:rsidR="006A77E1">
        <w:rPr>
          <w:rFonts w:ascii="Verdana" w:hAnsi="Verdana"/>
          <w:sz w:val="22"/>
        </w:rPr>
        <w:t xml:space="preserve">capture the details of approval by the SEZ authority, </w:t>
      </w:r>
      <w:r w:rsidRPr="007352E3">
        <w:rPr>
          <w:rFonts w:ascii="Verdana" w:hAnsi="Verdana"/>
          <w:sz w:val="22"/>
        </w:rPr>
        <w:t>period of validity</w:t>
      </w:r>
      <w:r w:rsidR="00ED1A5D">
        <w:rPr>
          <w:rFonts w:ascii="Verdana" w:hAnsi="Verdana"/>
          <w:sz w:val="22"/>
        </w:rPr>
        <w:t>, and other details of the unit</w:t>
      </w:r>
      <w:r w:rsidRPr="007352E3">
        <w:rPr>
          <w:rFonts w:ascii="Verdana" w:hAnsi="Verdana"/>
          <w:sz w:val="22"/>
        </w:rPr>
        <w:t>.</w:t>
      </w:r>
    </w:p>
    <w:p w:rsidR="005E573B" w:rsidRPr="007352E3" w:rsidRDefault="005E573B" w:rsidP="00915291">
      <w:pPr>
        <w:spacing w:after="0" w:line="276" w:lineRule="auto"/>
        <w:ind w:firstLine="0"/>
        <w:rPr>
          <w:rFonts w:ascii="Verdana" w:hAnsi="Verdana"/>
          <w:sz w:val="22"/>
        </w:rPr>
      </w:pPr>
    </w:p>
    <w:p w:rsidR="00915291" w:rsidRDefault="00ED1A5D" w:rsidP="00915291">
      <w:pPr>
        <w:spacing w:after="0" w:line="276" w:lineRule="auto"/>
        <w:ind w:firstLine="0"/>
        <w:rPr>
          <w:rFonts w:ascii="Verdana" w:hAnsi="Verdana"/>
          <w:sz w:val="22"/>
        </w:rPr>
      </w:pPr>
      <w:r>
        <w:rPr>
          <w:rFonts w:ascii="Verdana" w:hAnsi="Verdana"/>
          <w:sz w:val="22"/>
        </w:rPr>
        <w:t xml:space="preserve">c. </w:t>
      </w:r>
      <w:r w:rsidR="009C5D08" w:rsidRPr="009C5D08">
        <w:rPr>
          <w:rFonts w:ascii="Verdana" w:hAnsi="Verdana"/>
          <w:b/>
          <w:sz w:val="22"/>
        </w:rPr>
        <w:t>E Invoice format</w:t>
      </w:r>
      <w:r w:rsidR="009C5D08">
        <w:rPr>
          <w:rFonts w:ascii="Verdana" w:hAnsi="Verdana"/>
          <w:sz w:val="22"/>
        </w:rPr>
        <w:t xml:space="preserve">: </w:t>
      </w:r>
      <w:r w:rsidR="00915291">
        <w:rPr>
          <w:rFonts w:ascii="Verdana" w:hAnsi="Verdana"/>
          <w:sz w:val="22"/>
        </w:rPr>
        <w:t xml:space="preserve">New format of </w:t>
      </w:r>
      <w:r w:rsidR="009C5D08">
        <w:rPr>
          <w:rFonts w:ascii="Verdana" w:hAnsi="Verdana"/>
          <w:sz w:val="22"/>
        </w:rPr>
        <w:t xml:space="preserve">e invoice in </w:t>
      </w:r>
      <w:r w:rsidR="00915291">
        <w:rPr>
          <w:rFonts w:ascii="Verdana" w:hAnsi="Verdana"/>
          <w:sz w:val="22"/>
        </w:rPr>
        <w:t xml:space="preserve">FORM INV-01 has been provided. </w:t>
      </w:r>
    </w:p>
    <w:p w:rsidR="00915291" w:rsidRPr="007352E3" w:rsidRDefault="00915291" w:rsidP="00915291">
      <w:pPr>
        <w:spacing w:after="0" w:line="276" w:lineRule="auto"/>
        <w:ind w:firstLine="0"/>
        <w:rPr>
          <w:rFonts w:ascii="Verdana" w:hAnsi="Verdana"/>
          <w:sz w:val="22"/>
        </w:rPr>
      </w:pPr>
    </w:p>
    <w:p w:rsidR="00BF1833" w:rsidRPr="007352E3" w:rsidRDefault="00BF1833" w:rsidP="00915291">
      <w:pPr>
        <w:spacing w:after="0" w:line="276" w:lineRule="auto"/>
        <w:ind w:left="0" w:firstLine="0"/>
        <w:rPr>
          <w:rFonts w:ascii="Verdana" w:hAnsi="Verdana"/>
          <w:b/>
          <w:sz w:val="22"/>
          <w:u w:val="single"/>
        </w:rPr>
      </w:pPr>
      <w:r w:rsidRPr="007352E3">
        <w:rPr>
          <w:rFonts w:ascii="Verdana" w:hAnsi="Verdana"/>
          <w:b/>
          <w:sz w:val="22"/>
          <w:u w:val="single"/>
        </w:rPr>
        <w:t>3. Notification 03/2020-CT dated 01.01.2020</w:t>
      </w:r>
    </w:p>
    <w:p w:rsidR="00BF1833" w:rsidRPr="007352E3" w:rsidRDefault="00BF1833" w:rsidP="00915291">
      <w:pPr>
        <w:spacing w:after="0" w:line="276" w:lineRule="auto"/>
        <w:ind w:left="0" w:firstLine="0"/>
        <w:rPr>
          <w:rFonts w:ascii="Verdana" w:hAnsi="Verdana"/>
          <w:sz w:val="22"/>
        </w:rPr>
      </w:pPr>
    </w:p>
    <w:p w:rsidR="005E573B" w:rsidRPr="007352E3" w:rsidRDefault="00915291" w:rsidP="00915291">
      <w:pPr>
        <w:spacing w:after="0" w:line="276" w:lineRule="auto"/>
        <w:ind w:left="0" w:firstLine="0"/>
        <w:rPr>
          <w:rFonts w:ascii="Verdana" w:hAnsi="Verdana"/>
          <w:sz w:val="22"/>
        </w:rPr>
      </w:pPr>
      <w:r>
        <w:rPr>
          <w:rFonts w:ascii="Verdana" w:hAnsi="Verdana"/>
          <w:sz w:val="22"/>
        </w:rPr>
        <w:t xml:space="preserve">The due dates for following the Transitional plan for registered persons in UT of J&amp;K and </w:t>
      </w:r>
      <w:proofErr w:type="spellStart"/>
      <w:r>
        <w:rPr>
          <w:rFonts w:ascii="Verdana" w:hAnsi="Verdana"/>
          <w:sz w:val="22"/>
        </w:rPr>
        <w:t>Ladakh</w:t>
      </w:r>
      <w:proofErr w:type="spellEnd"/>
      <w:r w:rsidR="00BF1833" w:rsidRPr="007352E3">
        <w:rPr>
          <w:rFonts w:ascii="Verdana" w:hAnsi="Verdana"/>
          <w:sz w:val="22"/>
        </w:rPr>
        <w:t xml:space="preserve"> further extended</w:t>
      </w:r>
      <w:r>
        <w:rPr>
          <w:rFonts w:ascii="Verdana" w:hAnsi="Verdana"/>
          <w:sz w:val="22"/>
        </w:rPr>
        <w:t>.</w:t>
      </w:r>
    </w:p>
    <w:p w:rsidR="000C1C02" w:rsidRDefault="000C1C02" w:rsidP="00BE7255">
      <w:pPr>
        <w:jc w:val="center"/>
        <w:rPr>
          <w:rFonts w:ascii="Verdana" w:hAnsi="Verdana"/>
          <w:sz w:val="22"/>
        </w:rPr>
      </w:pPr>
    </w:p>
    <w:p w:rsidR="00C90334" w:rsidRDefault="00C90334" w:rsidP="00BE7255">
      <w:pPr>
        <w:jc w:val="center"/>
        <w:rPr>
          <w:rFonts w:ascii="Verdana" w:hAnsi="Verdana"/>
          <w:sz w:val="22"/>
        </w:rPr>
      </w:pPr>
      <w:r>
        <w:rPr>
          <w:rFonts w:ascii="Verdana" w:hAnsi="Verdana"/>
          <w:sz w:val="22"/>
        </w:rPr>
        <w:t>***</w:t>
      </w:r>
    </w:p>
    <w:p w:rsidR="00C90334" w:rsidRDefault="00C90334" w:rsidP="00BE7255">
      <w:pPr>
        <w:jc w:val="center"/>
        <w:rPr>
          <w:rFonts w:ascii="Verdana" w:hAnsi="Verdana"/>
          <w:sz w:val="22"/>
        </w:rPr>
      </w:pPr>
    </w:p>
    <w:p w:rsidR="00C90334" w:rsidRPr="00BE7255" w:rsidRDefault="00C90334" w:rsidP="00BE7255">
      <w:pPr>
        <w:jc w:val="center"/>
        <w:rPr>
          <w:rFonts w:ascii="Verdana" w:hAnsi="Verdana"/>
          <w:sz w:val="22"/>
        </w:rPr>
      </w:pPr>
    </w:p>
    <w:sectPr w:rsidR="00C90334" w:rsidRPr="00BE7255" w:rsidSect="00FF5920">
      <w:headerReference w:type="even" r:id="rId9"/>
      <w:headerReference w:type="default" r:id="rId10"/>
      <w:footerReference w:type="even" r:id="rId11"/>
      <w:footerReference w:type="default" r:id="rId12"/>
      <w:headerReference w:type="first" r:id="rId13"/>
      <w:footerReference w:type="first" r:id="rId14"/>
      <w:pgSz w:w="11899" w:h="16841" w:code="9"/>
      <w:pgMar w:top="2736" w:right="1411" w:bottom="2160" w:left="1584" w:header="720" w:footer="778" w:gutter="0"/>
      <w:pgBorders w:offsetFrom="page">
        <w:top w:val="dotted" w:sz="4" w:space="24" w:color="auto"/>
        <w:left w:val="dotted" w:sz="4" w:space="24" w:color="auto"/>
        <w:bottom w:val="dotted" w:sz="4" w:space="24" w:color="auto"/>
        <w:right w:val="dotted" w:sz="4"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4D" w:rsidRDefault="003D054D">
      <w:pPr>
        <w:spacing w:after="0" w:line="240" w:lineRule="auto"/>
      </w:pPr>
      <w:r>
        <w:separator/>
      </w:r>
    </w:p>
  </w:endnote>
  <w:endnote w:type="continuationSeparator" w:id="0">
    <w:p w:rsidR="003D054D" w:rsidRDefault="003D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F2" w:rsidRDefault="00E150F2">
    <w:pPr>
      <w:spacing w:after="42" w:line="259" w:lineRule="auto"/>
      <w:ind w:left="58" w:right="0" w:firstLine="0"/>
      <w:jc w:val="center"/>
    </w:pPr>
  </w:p>
  <w:p w:rsidR="00E150F2" w:rsidRDefault="00E150F2">
    <w:pPr>
      <w:spacing w:after="0" w:line="259" w:lineRule="auto"/>
      <w:ind w:left="0" w:right="7" w:firstLine="0"/>
      <w:jc w:val="center"/>
    </w:pPr>
    <w:r>
      <w:rPr>
        <w:rFonts w:ascii="Verdana" w:eastAsia="Verdana" w:hAnsi="Verdana" w:cs="Verdana"/>
        <w:b/>
      </w:rPr>
      <w:t xml:space="preserve">www.swamyassociates.com </w:t>
    </w:r>
  </w:p>
  <w:p w:rsidR="00E150F2" w:rsidRDefault="00E150F2">
    <w:pPr>
      <w:spacing w:after="53" w:line="259" w:lineRule="auto"/>
      <w:ind w:left="0" w:right="4" w:firstLine="0"/>
      <w:jc w:val="center"/>
    </w:pPr>
    <w:proofErr w:type="spellStart"/>
    <w:proofErr w:type="gramStart"/>
    <w:r>
      <w:rPr>
        <w:rFonts w:ascii="Verdana" w:eastAsia="Verdana" w:hAnsi="Verdana" w:cs="Verdana"/>
        <w:sz w:val="22"/>
      </w:rPr>
      <w:t>chennai</w:t>
    </w:r>
    <w:proofErr w:type="spellEnd"/>
    <w:proofErr w:type="gramEnd"/>
    <w:r>
      <w:rPr>
        <w:rFonts w:ascii="Verdana" w:eastAsia="Verdana" w:hAnsi="Verdana" w:cs="Verdana"/>
        <w:sz w:val="22"/>
      </w:rPr>
      <w:t xml:space="preserve"> | </w:t>
    </w:r>
    <w:proofErr w:type="spellStart"/>
    <w:r>
      <w:rPr>
        <w:rFonts w:ascii="Verdana" w:eastAsia="Verdana" w:hAnsi="Verdana" w:cs="Verdana"/>
        <w:sz w:val="22"/>
      </w:rPr>
      <w:t>coimbatore</w:t>
    </w:r>
    <w:proofErr w:type="spellEnd"/>
    <w:r>
      <w:rPr>
        <w:rFonts w:ascii="Verdana" w:eastAsia="Verdana" w:hAnsi="Verdana" w:cs="Verdana"/>
        <w:sz w:val="22"/>
      </w:rPr>
      <w:t xml:space="preserve"> | </w:t>
    </w:r>
    <w:proofErr w:type="spellStart"/>
    <w:r>
      <w:rPr>
        <w:rFonts w:ascii="Verdana" w:eastAsia="Verdana" w:hAnsi="Verdana" w:cs="Verdana"/>
        <w:sz w:val="22"/>
      </w:rPr>
      <w:t>bengaluru</w:t>
    </w:r>
    <w:proofErr w:type="spellEnd"/>
    <w:r>
      <w:rPr>
        <w:rFonts w:ascii="Verdana" w:eastAsia="Verdana" w:hAnsi="Verdana" w:cs="Verdana"/>
        <w:sz w:val="22"/>
      </w:rPr>
      <w:t xml:space="preserve"> | </w:t>
    </w:r>
    <w:proofErr w:type="spellStart"/>
    <w:r>
      <w:rPr>
        <w:rFonts w:ascii="Verdana" w:eastAsia="Verdana" w:hAnsi="Verdana" w:cs="Verdana"/>
        <w:sz w:val="22"/>
      </w:rPr>
      <w:t>hyderabad</w:t>
    </w:r>
    <w:proofErr w:type="spellEnd"/>
    <w:r>
      <w:rPr>
        <w:rFonts w:ascii="Verdana" w:eastAsia="Verdana" w:hAnsi="Verdana" w:cs="Verdana"/>
        <w:sz w:val="22"/>
      </w:rPr>
      <w:t xml:space="preserve"> | </w:t>
    </w:r>
    <w:proofErr w:type="spellStart"/>
    <w:r>
      <w:rPr>
        <w:rFonts w:ascii="Verdana" w:eastAsia="Verdana" w:hAnsi="Verdana" w:cs="Verdana"/>
        <w:sz w:val="22"/>
      </w:rPr>
      <w:t>pune</w:t>
    </w:r>
    <w:proofErr w:type="spellEnd"/>
    <w:r>
      <w:rPr>
        <w:rFonts w:ascii="Verdana" w:eastAsia="Verdana" w:hAnsi="Verdana" w:cs="Verdana"/>
        <w:sz w:val="22"/>
      </w:rPr>
      <w:t xml:space="preserve"> | new </w:t>
    </w:r>
    <w:proofErr w:type="spellStart"/>
    <w:r>
      <w:rPr>
        <w:rFonts w:ascii="Verdana" w:eastAsia="Verdana" w:hAnsi="Verdana" w:cs="Verdana"/>
        <w:sz w:val="22"/>
      </w:rPr>
      <w:t>delhi</w:t>
    </w:r>
    <w:proofErr w:type="spellEnd"/>
  </w:p>
  <w:p w:rsidR="00E150F2" w:rsidRDefault="00E150F2">
    <w:pPr>
      <w:spacing w:after="0" w:line="259" w:lineRule="auto"/>
      <w:ind w:left="0" w:firstLine="0"/>
      <w:jc w:val="center"/>
    </w:pPr>
    <w:r>
      <w:rPr>
        <w:rFonts w:ascii="Verdana" w:eastAsia="Verdana" w:hAnsi="Verdana" w:cs="Verdana"/>
        <w:sz w:val="16"/>
      </w:rPr>
      <w:t xml:space="preserve">Chennai: 18, Rams Flats, </w:t>
    </w:r>
    <w:proofErr w:type="spellStart"/>
    <w:r>
      <w:rPr>
        <w:rFonts w:ascii="Verdana" w:eastAsia="Verdana" w:hAnsi="Verdana" w:cs="Verdana"/>
        <w:sz w:val="16"/>
      </w:rPr>
      <w:t>Ashoka</w:t>
    </w:r>
    <w:proofErr w:type="spellEnd"/>
    <w:r>
      <w:rPr>
        <w:rFonts w:ascii="Verdana" w:eastAsia="Verdana" w:hAnsi="Verdana" w:cs="Verdana"/>
        <w:sz w:val="16"/>
      </w:rPr>
      <w:t xml:space="preserve"> Avenue, Director’s Colony, </w:t>
    </w:r>
    <w:proofErr w:type="spellStart"/>
    <w:r>
      <w:rPr>
        <w:rFonts w:ascii="Verdana" w:eastAsia="Verdana" w:hAnsi="Verdana" w:cs="Verdana"/>
        <w:sz w:val="16"/>
      </w:rPr>
      <w:t>Kodambakkam</w:t>
    </w:r>
    <w:proofErr w:type="spellEnd"/>
    <w:r>
      <w:rPr>
        <w:rFonts w:ascii="Verdana" w:eastAsia="Verdana" w:hAnsi="Verdana" w:cs="Verdana"/>
        <w:sz w:val="16"/>
      </w:rPr>
      <w:t xml:space="preserve">, Chennai - 600024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F2" w:rsidRDefault="00E150F2">
    <w:pPr>
      <w:spacing w:after="42" w:line="259" w:lineRule="auto"/>
      <w:ind w:left="58" w:right="0" w:firstLine="0"/>
      <w:jc w:val="center"/>
    </w:pPr>
  </w:p>
  <w:p w:rsidR="00E150F2" w:rsidRDefault="00E150F2">
    <w:pPr>
      <w:spacing w:after="0" w:line="259" w:lineRule="auto"/>
      <w:ind w:left="0" w:right="7" w:firstLine="0"/>
      <w:jc w:val="center"/>
    </w:pPr>
    <w:r>
      <w:rPr>
        <w:rFonts w:ascii="Verdana" w:eastAsia="Verdana" w:hAnsi="Verdana" w:cs="Verdana"/>
        <w:b/>
      </w:rPr>
      <w:t xml:space="preserve">www.swamyassociates.com </w:t>
    </w:r>
  </w:p>
  <w:p w:rsidR="00E150F2" w:rsidRDefault="00E150F2">
    <w:pPr>
      <w:spacing w:after="53" w:line="259" w:lineRule="auto"/>
      <w:ind w:left="0" w:right="4" w:firstLine="0"/>
      <w:jc w:val="center"/>
    </w:pPr>
    <w:proofErr w:type="spellStart"/>
    <w:proofErr w:type="gramStart"/>
    <w:r>
      <w:rPr>
        <w:rFonts w:ascii="Verdana" w:eastAsia="Verdana" w:hAnsi="Verdana" w:cs="Verdana"/>
        <w:sz w:val="22"/>
      </w:rPr>
      <w:t>chennai</w:t>
    </w:r>
    <w:proofErr w:type="spellEnd"/>
    <w:proofErr w:type="gramEnd"/>
    <w:r>
      <w:rPr>
        <w:rFonts w:ascii="Verdana" w:eastAsia="Verdana" w:hAnsi="Verdana" w:cs="Verdana"/>
        <w:sz w:val="22"/>
      </w:rPr>
      <w:t xml:space="preserve"> | </w:t>
    </w:r>
    <w:proofErr w:type="spellStart"/>
    <w:r>
      <w:rPr>
        <w:rFonts w:ascii="Verdana" w:eastAsia="Verdana" w:hAnsi="Verdana" w:cs="Verdana"/>
        <w:sz w:val="22"/>
      </w:rPr>
      <w:t>coimbatore</w:t>
    </w:r>
    <w:proofErr w:type="spellEnd"/>
    <w:r>
      <w:rPr>
        <w:rFonts w:ascii="Verdana" w:eastAsia="Verdana" w:hAnsi="Verdana" w:cs="Verdana"/>
        <w:sz w:val="22"/>
      </w:rPr>
      <w:t xml:space="preserve"> | </w:t>
    </w:r>
    <w:proofErr w:type="spellStart"/>
    <w:r>
      <w:rPr>
        <w:rFonts w:ascii="Verdana" w:eastAsia="Verdana" w:hAnsi="Verdana" w:cs="Verdana"/>
        <w:sz w:val="22"/>
      </w:rPr>
      <w:t>bengaluru</w:t>
    </w:r>
    <w:proofErr w:type="spellEnd"/>
    <w:r>
      <w:rPr>
        <w:rFonts w:ascii="Verdana" w:eastAsia="Verdana" w:hAnsi="Verdana" w:cs="Verdana"/>
        <w:sz w:val="22"/>
      </w:rPr>
      <w:t xml:space="preserve"> | </w:t>
    </w:r>
    <w:proofErr w:type="spellStart"/>
    <w:r>
      <w:rPr>
        <w:rFonts w:ascii="Verdana" w:eastAsia="Verdana" w:hAnsi="Verdana" w:cs="Verdana"/>
        <w:sz w:val="22"/>
      </w:rPr>
      <w:t>hyderabad</w:t>
    </w:r>
    <w:proofErr w:type="spellEnd"/>
    <w:r>
      <w:rPr>
        <w:rFonts w:ascii="Verdana" w:eastAsia="Verdana" w:hAnsi="Verdana" w:cs="Verdana"/>
        <w:sz w:val="22"/>
      </w:rPr>
      <w:t xml:space="preserve"> | </w:t>
    </w:r>
    <w:proofErr w:type="spellStart"/>
    <w:r>
      <w:rPr>
        <w:rFonts w:ascii="Verdana" w:eastAsia="Verdana" w:hAnsi="Verdana" w:cs="Verdana"/>
        <w:sz w:val="22"/>
      </w:rPr>
      <w:t>pune</w:t>
    </w:r>
    <w:proofErr w:type="spellEnd"/>
    <w:r>
      <w:rPr>
        <w:rFonts w:ascii="Verdana" w:eastAsia="Verdana" w:hAnsi="Verdana" w:cs="Verdana"/>
        <w:sz w:val="22"/>
      </w:rPr>
      <w:t xml:space="preserve"> | new </w:t>
    </w:r>
    <w:proofErr w:type="spellStart"/>
    <w:r>
      <w:rPr>
        <w:rFonts w:ascii="Verdana" w:eastAsia="Verdana" w:hAnsi="Verdana" w:cs="Verdana"/>
        <w:sz w:val="22"/>
      </w:rPr>
      <w:t>delhi</w:t>
    </w:r>
    <w:proofErr w:type="spellEnd"/>
  </w:p>
  <w:p w:rsidR="00E150F2" w:rsidRDefault="00E150F2">
    <w:pPr>
      <w:spacing w:after="0" w:line="259" w:lineRule="auto"/>
      <w:ind w:left="0" w:firstLine="0"/>
      <w:jc w:val="center"/>
    </w:pPr>
    <w:r>
      <w:rPr>
        <w:rFonts w:ascii="Verdana" w:eastAsia="Verdana" w:hAnsi="Verdana" w:cs="Verdana"/>
        <w:sz w:val="16"/>
      </w:rPr>
      <w:t xml:space="preserve">Chennai: 18, Rams Flats, </w:t>
    </w:r>
    <w:proofErr w:type="spellStart"/>
    <w:r>
      <w:rPr>
        <w:rFonts w:ascii="Verdana" w:eastAsia="Verdana" w:hAnsi="Verdana" w:cs="Verdana"/>
        <w:sz w:val="16"/>
      </w:rPr>
      <w:t>Ashoka</w:t>
    </w:r>
    <w:proofErr w:type="spellEnd"/>
    <w:r>
      <w:rPr>
        <w:rFonts w:ascii="Verdana" w:eastAsia="Verdana" w:hAnsi="Verdana" w:cs="Verdana"/>
        <w:sz w:val="16"/>
      </w:rPr>
      <w:t xml:space="preserve"> Avenue, Director’s Colony, </w:t>
    </w:r>
    <w:proofErr w:type="spellStart"/>
    <w:r>
      <w:rPr>
        <w:rFonts w:ascii="Verdana" w:eastAsia="Verdana" w:hAnsi="Verdana" w:cs="Verdana"/>
        <w:sz w:val="16"/>
      </w:rPr>
      <w:t>Kodambakkam</w:t>
    </w:r>
    <w:proofErr w:type="spellEnd"/>
    <w:r>
      <w:rPr>
        <w:rFonts w:ascii="Verdana" w:eastAsia="Verdana" w:hAnsi="Verdana" w:cs="Verdana"/>
        <w:sz w:val="16"/>
      </w:rPr>
      <w:t xml:space="preserve">, Chennai - 600024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F2" w:rsidRDefault="00E150F2">
    <w:pPr>
      <w:spacing w:after="42" w:line="259" w:lineRule="auto"/>
      <w:ind w:left="58" w:right="0" w:firstLine="0"/>
      <w:jc w:val="center"/>
    </w:pPr>
  </w:p>
  <w:p w:rsidR="00E150F2" w:rsidRDefault="00E150F2">
    <w:pPr>
      <w:spacing w:after="0" w:line="259" w:lineRule="auto"/>
      <w:ind w:left="0" w:right="7" w:firstLine="0"/>
      <w:jc w:val="center"/>
    </w:pPr>
    <w:r>
      <w:rPr>
        <w:rFonts w:ascii="Verdana" w:eastAsia="Verdana" w:hAnsi="Verdana" w:cs="Verdana"/>
        <w:b/>
      </w:rPr>
      <w:t xml:space="preserve">www.swamyassociates.com </w:t>
    </w:r>
  </w:p>
  <w:p w:rsidR="00E150F2" w:rsidRDefault="00E150F2">
    <w:pPr>
      <w:spacing w:after="53" w:line="259" w:lineRule="auto"/>
      <w:ind w:left="0" w:right="4" w:firstLine="0"/>
      <w:jc w:val="center"/>
    </w:pPr>
    <w:proofErr w:type="spellStart"/>
    <w:proofErr w:type="gramStart"/>
    <w:r>
      <w:rPr>
        <w:rFonts w:ascii="Verdana" w:eastAsia="Verdana" w:hAnsi="Verdana" w:cs="Verdana"/>
        <w:sz w:val="22"/>
      </w:rPr>
      <w:t>chennai</w:t>
    </w:r>
    <w:proofErr w:type="spellEnd"/>
    <w:proofErr w:type="gramEnd"/>
    <w:r>
      <w:rPr>
        <w:rFonts w:ascii="Verdana" w:eastAsia="Verdana" w:hAnsi="Verdana" w:cs="Verdana"/>
        <w:sz w:val="22"/>
      </w:rPr>
      <w:t xml:space="preserve"> | </w:t>
    </w:r>
    <w:proofErr w:type="spellStart"/>
    <w:r>
      <w:rPr>
        <w:rFonts w:ascii="Verdana" w:eastAsia="Verdana" w:hAnsi="Verdana" w:cs="Verdana"/>
        <w:sz w:val="22"/>
      </w:rPr>
      <w:t>coimbatore</w:t>
    </w:r>
    <w:proofErr w:type="spellEnd"/>
    <w:r>
      <w:rPr>
        <w:rFonts w:ascii="Verdana" w:eastAsia="Verdana" w:hAnsi="Verdana" w:cs="Verdana"/>
        <w:sz w:val="22"/>
      </w:rPr>
      <w:t xml:space="preserve"> | </w:t>
    </w:r>
    <w:proofErr w:type="spellStart"/>
    <w:r>
      <w:rPr>
        <w:rFonts w:ascii="Verdana" w:eastAsia="Verdana" w:hAnsi="Verdana" w:cs="Verdana"/>
        <w:sz w:val="22"/>
      </w:rPr>
      <w:t>bengaluru</w:t>
    </w:r>
    <w:proofErr w:type="spellEnd"/>
    <w:r>
      <w:rPr>
        <w:rFonts w:ascii="Verdana" w:eastAsia="Verdana" w:hAnsi="Verdana" w:cs="Verdana"/>
        <w:sz w:val="22"/>
      </w:rPr>
      <w:t xml:space="preserve"> | </w:t>
    </w:r>
    <w:proofErr w:type="spellStart"/>
    <w:r>
      <w:rPr>
        <w:rFonts w:ascii="Verdana" w:eastAsia="Verdana" w:hAnsi="Verdana" w:cs="Verdana"/>
        <w:sz w:val="22"/>
      </w:rPr>
      <w:t>hyderabad</w:t>
    </w:r>
    <w:proofErr w:type="spellEnd"/>
    <w:r>
      <w:rPr>
        <w:rFonts w:ascii="Verdana" w:eastAsia="Verdana" w:hAnsi="Verdana" w:cs="Verdana"/>
        <w:sz w:val="22"/>
      </w:rPr>
      <w:t xml:space="preserve"> | </w:t>
    </w:r>
    <w:proofErr w:type="spellStart"/>
    <w:r>
      <w:rPr>
        <w:rFonts w:ascii="Verdana" w:eastAsia="Verdana" w:hAnsi="Verdana" w:cs="Verdana"/>
        <w:sz w:val="22"/>
      </w:rPr>
      <w:t>pune</w:t>
    </w:r>
    <w:proofErr w:type="spellEnd"/>
    <w:r>
      <w:rPr>
        <w:rFonts w:ascii="Verdana" w:eastAsia="Verdana" w:hAnsi="Verdana" w:cs="Verdana"/>
        <w:sz w:val="22"/>
      </w:rPr>
      <w:t xml:space="preserve"> | new </w:t>
    </w:r>
    <w:proofErr w:type="spellStart"/>
    <w:r>
      <w:rPr>
        <w:rFonts w:ascii="Verdana" w:eastAsia="Verdana" w:hAnsi="Verdana" w:cs="Verdana"/>
        <w:sz w:val="22"/>
      </w:rPr>
      <w:t>delhi</w:t>
    </w:r>
    <w:proofErr w:type="spellEnd"/>
  </w:p>
  <w:p w:rsidR="00E150F2" w:rsidRDefault="00E150F2">
    <w:pPr>
      <w:spacing w:after="0" w:line="259" w:lineRule="auto"/>
      <w:ind w:left="0" w:firstLine="0"/>
      <w:jc w:val="center"/>
    </w:pPr>
    <w:r>
      <w:rPr>
        <w:rFonts w:ascii="Verdana" w:eastAsia="Verdana" w:hAnsi="Verdana" w:cs="Verdana"/>
        <w:sz w:val="16"/>
      </w:rPr>
      <w:t xml:space="preserve">Chennai: 18, Rams Flats, </w:t>
    </w:r>
    <w:proofErr w:type="spellStart"/>
    <w:r>
      <w:rPr>
        <w:rFonts w:ascii="Verdana" w:eastAsia="Verdana" w:hAnsi="Verdana" w:cs="Verdana"/>
        <w:sz w:val="16"/>
      </w:rPr>
      <w:t>Ashoka</w:t>
    </w:r>
    <w:proofErr w:type="spellEnd"/>
    <w:r>
      <w:rPr>
        <w:rFonts w:ascii="Verdana" w:eastAsia="Verdana" w:hAnsi="Verdana" w:cs="Verdana"/>
        <w:sz w:val="16"/>
      </w:rPr>
      <w:t xml:space="preserve"> Avenue, Director’s Colony, </w:t>
    </w:r>
    <w:proofErr w:type="spellStart"/>
    <w:r>
      <w:rPr>
        <w:rFonts w:ascii="Verdana" w:eastAsia="Verdana" w:hAnsi="Verdana" w:cs="Verdana"/>
        <w:sz w:val="16"/>
      </w:rPr>
      <w:t>Kodambakkam</w:t>
    </w:r>
    <w:proofErr w:type="spellEnd"/>
    <w:r>
      <w:rPr>
        <w:rFonts w:ascii="Verdana" w:eastAsia="Verdana" w:hAnsi="Verdana" w:cs="Verdana"/>
        <w:sz w:val="16"/>
      </w:rPr>
      <w:t xml:space="preserve">, Chennai - 600024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4D" w:rsidRDefault="003D054D">
      <w:pPr>
        <w:spacing w:after="0" w:line="240" w:lineRule="auto"/>
      </w:pPr>
      <w:r>
        <w:separator/>
      </w:r>
    </w:p>
  </w:footnote>
  <w:footnote w:type="continuationSeparator" w:id="0">
    <w:p w:rsidR="003D054D" w:rsidRDefault="003D0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F2" w:rsidRDefault="00E150F2">
    <w:pPr>
      <w:spacing w:after="0" w:line="259" w:lineRule="auto"/>
      <w:ind w:left="0" w:right="-190" w:firstLine="0"/>
      <w:jc w:val="left"/>
    </w:pPr>
    <w:r>
      <w:rPr>
        <w:noProof/>
      </w:rPr>
      <w:drawing>
        <wp:anchor distT="0" distB="0" distL="114300" distR="114300" simplePos="0" relativeHeight="251658240" behindDoc="0" locked="0" layoutInCell="1" allowOverlap="0" wp14:anchorId="268C637A" wp14:editId="72D0FD35">
          <wp:simplePos x="0" y="0"/>
          <wp:positionH relativeFrom="page">
            <wp:posOffset>4682490</wp:posOffset>
          </wp:positionH>
          <wp:positionV relativeFrom="page">
            <wp:posOffset>461645</wp:posOffset>
          </wp:positionV>
          <wp:extent cx="2097786" cy="9677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97786" cy="967740"/>
                  </a:xfrm>
                  <a:prstGeom prst="rect">
                    <a:avLst/>
                  </a:prstGeom>
                </pic:spPr>
              </pic:pic>
            </a:graphicData>
          </a:graphic>
        </wp:anchor>
      </w:drawing>
    </w:r>
    <w:r>
      <w:rPr>
        <w:rFonts w:ascii="Calibri" w:eastAsia="Calibri" w:hAnsi="Calibri" w:cs="Calibri"/>
        <w:sz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76" w:rsidRDefault="00625676" w:rsidP="00AE6D65">
    <w:pPr>
      <w:spacing w:after="0" w:line="259" w:lineRule="auto"/>
      <w:ind w:left="0" w:right="-190" w:firstLine="0"/>
      <w:jc w:val="center"/>
      <w:rPr>
        <w:rFonts w:ascii="Verdana" w:eastAsia="Calibri" w:hAnsi="Verdana" w:cs="Calibri"/>
        <w:b/>
        <w:sz w:val="28"/>
      </w:rPr>
    </w:pPr>
  </w:p>
  <w:p w:rsidR="00625676" w:rsidRDefault="00625676" w:rsidP="00625676">
    <w:pPr>
      <w:spacing w:after="0" w:line="259" w:lineRule="auto"/>
      <w:ind w:left="0" w:right="-190" w:firstLine="0"/>
      <w:jc w:val="left"/>
      <w:rPr>
        <w:rFonts w:ascii="Verdana" w:eastAsia="Calibri" w:hAnsi="Verdana" w:cs="Calibri"/>
        <w:b/>
        <w:sz w:val="28"/>
      </w:rPr>
    </w:pPr>
  </w:p>
  <w:p w:rsidR="00E150F2" w:rsidRPr="00625676" w:rsidRDefault="00E150F2" w:rsidP="00625676">
    <w:pPr>
      <w:spacing w:after="0" w:line="259" w:lineRule="auto"/>
      <w:ind w:left="0" w:right="-190" w:firstLine="0"/>
      <w:jc w:val="left"/>
      <w:rPr>
        <w:rFonts w:ascii="Verdana" w:hAnsi="Verdana"/>
        <w:b/>
      </w:rPr>
    </w:pPr>
    <w:r w:rsidRPr="00625676">
      <w:rPr>
        <w:b/>
        <w:noProof/>
      </w:rPr>
      <w:drawing>
        <wp:anchor distT="0" distB="0" distL="114300" distR="114300" simplePos="0" relativeHeight="251659264" behindDoc="0" locked="0" layoutInCell="1" allowOverlap="0" wp14:anchorId="568EDBCE" wp14:editId="419349EC">
          <wp:simplePos x="0" y="0"/>
          <wp:positionH relativeFrom="page">
            <wp:posOffset>4682490</wp:posOffset>
          </wp:positionH>
          <wp:positionV relativeFrom="page">
            <wp:posOffset>461645</wp:posOffset>
          </wp:positionV>
          <wp:extent cx="2097786" cy="9677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97786" cy="967740"/>
                  </a:xfrm>
                  <a:prstGeom prst="rect">
                    <a:avLst/>
                  </a:prstGeom>
                </pic:spPr>
              </pic:pic>
            </a:graphicData>
          </a:graphic>
        </wp:anchor>
      </w:drawing>
    </w:r>
    <w:r w:rsidR="00625676" w:rsidRPr="00625676">
      <w:rPr>
        <w:rFonts w:ascii="Verdana" w:eastAsia="Calibri" w:hAnsi="Verdana" w:cs="Calibri"/>
        <w:b/>
        <w:sz w:val="28"/>
      </w:rPr>
      <w:t>CGST Act</w:t>
    </w:r>
    <w:r w:rsidR="007352E3">
      <w:rPr>
        <w:rFonts w:ascii="Verdana" w:eastAsia="Calibri" w:hAnsi="Verdana" w:cs="Calibri"/>
        <w:b/>
        <w:sz w:val="28"/>
      </w:rPr>
      <w:t xml:space="preserve"> and </w:t>
    </w:r>
    <w:r w:rsidR="005E573B">
      <w:rPr>
        <w:rFonts w:ascii="Verdana" w:eastAsia="Calibri" w:hAnsi="Verdana" w:cs="Calibri"/>
        <w:b/>
        <w:sz w:val="28"/>
      </w:rPr>
      <w:t>Rules</w:t>
    </w:r>
    <w:r w:rsidR="00625676" w:rsidRPr="00625676">
      <w:rPr>
        <w:rFonts w:ascii="Verdana" w:eastAsia="Calibri" w:hAnsi="Verdana" w:cs="Calibri"/>
        <w:b/>
        <w:sz w:val="28"/>
      </w:rPr>
      <w:t>- Amendment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F2" w:rsidRDefault="00E150F2">
    <w:pPr>
      <w:spacing w:after="0" w:line="259" w:lineRule="auto"/>
      <w:ind w:left="0" w:right="-190" w:firstLine="0"/>
      <w:jc w:val="left"/>
    </w:pPr>
    <w:r>
      <w:rPr>
        <w:noProof/>
      </w:rPr>
      <w:drawing>
        <wp:anchor distT="0" distB="0" distL="114300" distR="114300" simplePos="0" relativeHeight="251660288" behindDoc="0" locked="0" layoutInCell="1" allowOverlap="0" wp14:anchorId="4A87C5A4" wp14:editId="55B5F56D">
          <wp:simplePos x="0" y="0"/>
          <wp:positionH relativeFrom="page">
            <wp:posOffset>4682490</wp:posOffset>
          </wp:positionH>
          <wp:positionV relativeFrom="page">
            <wp:posOffset>461645</wp:posOffset>
          </wp:positionV>
          <wp:extent cx="2097786" cy="96774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97786" cy="967740"/>
                  </a:xfrm>
                  <a:prstGeom prst="rect">
                    <a:avLst/>
                  </a:prstGeom>
                </pic:spPr>
              </pic:pic>
            </a:graphicData>
          </a:graphic>
        </wp:anchor>
      </w:drawing>
    </w:r>
    <w:r>
      <w:rPr>
        <w:rFonts w:ascii="Calibri" w:eastAsia="Calibri" w:hAnsi="Calibri" w:cs="Calibri"/>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CAC"/>
    <w:multiLevelType w:val="hybridMultilevel"/>
    <w:tmpl w:val="9C84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D0FC2"/>
    <w:multiLevelType w:val="hybridMultilevel"/>
    <w:tmpl w:val="55EA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D6428"/>
    <w:multiLevelType w:val="hybridMultilevel"/>
    <w:tmpl w:val="1AE2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A1693"/>
    <w:multiLevelType w:val="hybridMultilevel"/>
    <w:tmpl w:val="7F8C8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0D12D8"/>
    <w:multiLevelType w:val="hybridMultilevel"/>
    <w:tmpl w:val="8E0E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D0D98"/>
    <w:multiLevelType w:val="hybridMultilevel"/>
    <w:tmpl w:val="591A9DDA"/>
    <w:lvl w:ilvl="0" w:tplc="3086CCE6">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1EAE8500">
      <w:start w:val="1"/>
      <w:numFmt w:val="bullet"/>
      <w:lvlText w:val="o"/>
      <w:lvlJc w:val="left"/>
      <w:pPr>
        <w:ind w:left="14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B12B2D6">
      <w:start w:val="1"/>
      <w:numFmt w:val="bullet"/>
      <w:lvlText w:val="▪"/>
      <w:lvlJc w:val="left"/>
      <w:pPr>
        <w:ind w:left="21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AA42E7C">
      <w:start w:val="1"/>
      <w:numFmt w:val="bullet"/>
      <w:lvlText w:val="•"/>
      <w:lvlJc w:val="left"/>
      <w:pPr>
        <w:ind w:left="28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C1E2A228">
      <w:start w:val="1"/>
      <w:numFmt w:val="bullet"/>
      <w:lvlText w:val="o"/>
      <w:lvlJc w:val="left"/>
      <w:pPr>
        <w:ind w:left="36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C960DE4">
      <w:start w:val="1"/>
      <w:numFmt w:val="bullet"/>
      <w:lvlText w:val="▪"/>
      <w:lvlJc w:val="left"/>
      <w:pPr>
        <w:ind w:left="43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3AC8222">
      <w:start w:val="1"/>
      <w:numFmt w:val="bullet"/>
      <w:lvlText w:val="•"/>
      <w:lvlJc w:val="left"/>
      <w:pPr>
        <w:ind w:left="50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7908F3C">
      <w:start w:val="1"/>
      <w:numFmt w:val="bullet"/>
      <w:lvlText w:val="o"/>
      <w:lvlJc w:val="left"/>
      <w:pPr>
        <w:ind w:left="57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944584E">
      <w:start w:val="1"/>
      <w:numFmt w:val="bullet"/>
      <w:lvlText w:val="▪"/>
      <w:lvlJc w:val="left"/>
      <w:pPr>
        <w:ind w:left="64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
    <w:nsid w:val="3DB16EDE"/>
    <w:multiLevelType w:val="hybridMultilevel"/>
    <w:tmpl w:val="5630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AF2017"/>
    <w:multiLevelType w:val="hybridMultilevel"/>
    <w:tmpl w:val="89645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F8D2412"/>
    <w:multiLevelType w:val="hybridMultilevel"/>
    <w:tmpl w:val="D69A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FF5820"/>
    <w:multiLevelType w:val="hybridMultilevel"/>
    <w:tmpl w:val="FF1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C6731F"/>
    <w:multiLevelType w:val="hybridMultilevel"/>
    <w:tmpl w:val="7F84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604D74"/>
    <w:multiLevelType w:val="hybridMultilevel"/>
    <w:tmpl w:val="4BEA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B8530E"/>
    <w:multiLevelType w:val="hybridMultilevel"/>
    <w:tmpl w:val="99469470"/>
    <w:lvl w:ilvl="0" w:tplc="64C2F2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597DC0"/>
    <w:multiLevelType w:val="hybridMultilevel"/>
    <w:tmpl w:val="729060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A3416B4"/>
    <w:multiLevelType w:val="hybridMultilevel"/>
    <w:tmpl w:val="B25E6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3020F"/>
    <w:multiLevelType w:val="hybridMultilevel"/>
    <w:tmpl w:val="69C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258A2"/>
    <w:multiLevelType w:val="hybridMultilevel"/>
    <w:tmpl w:val="774AC126"/>
    <w:lvl w:ilvl="0" w:tplc="A8EE3B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CD37023"/>
    <w:multiLevelType w:val="hybridMultilevel"/>
    <w:tmpl w:val="8B5CA926"/>
    <w:lvl w:ilvl="0" w:tplc="B38EC000">
      <w:start w:val="7"/>
      <w:numFmt w:val="decimal"/>
      <w:lvlText w:val="%1."/>
      <w:lvlJc w:val="left"/>
      <w:pPr>
        <w:ind w:left="715"/>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1" w:tplc="6D1888C6">
      <w:start w:val="1"/>
      <w:numFmt w:val="lowerLetter"/>
      <w:lvlText w:val="%2"/>
      <w:lvlJc w:val="left"/>
      <w:pPr>
        <w:ind w:left="1800"/>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2" w:tplc="9F52B1D0">
      <w:start w:val="1"/>
      <w:numFmt w:val="lowerRoman"/>
      <w:lvlText w:val="%3"/>
      <w:lvlJc w:val="left"/>
      <w:pPr>
        <w:ind w:left="2520"/>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3" w:tplc="FF564B88">
      <w:start w:val="1"/>
      <w:numFmt w:val="decimal"/>
      <w:lvlText w:val="%4"/>
      <w:lvlJc w:val="left"/>
      <w:pPr>
        <w:ind w:left="3240"/>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4" w:tplc="2DE40EB8">
      <w:start w:val="1"/>
      <w:numFmt w:val="lowerLetter"/>
      <w:lvlText w:val="%5"/>
      <w:lvlJc w:val="left"/>
      <w:pPr>
        <w:ind w:left="3960"/>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5" w:tplc="014E55AC">
      <w:start w:val="1"/>
      <w:numFmt w:val="lowerRoman"/>
      <w:lvlText w:val="%6"/>
      <w:lvlJc w:val="left"/>
      <w:pPr>
        <w:ind w:left="4680"/>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6" w:tplc="2C3C6916">
      <w:start w:val="1"/>
      <w:numFmt w:val="decimal"/>
      <w:lvlText w:val="%7"/>
      <w:lvlJc w:val="left"/>
      <w:pPr>
        <w:ind w:left="5400"/>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7" w:tplc="09043FA8">
      <w:start w:val="1"/>
      <w:numFmt w:val="lowerLetter"/>
      <w:lvlText w:val="%8"/>
      <w:lvlJc w:val="left"/>
      <w:pPr>
        <w:ind w:left="6120"/>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8" w:tplc="5F7C6DE6">
      <w:start w:val="1"/>
      <w:numFmt w:val="lowerRoman"/>
      <w:lvlText w:val="%9"/>
      <w:lvlJc w:val="left"/>
      <w:pPr>
        <w:ind w:left="6840"/>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7"/>
  </w:num>
  <w:num w:numId="3">
    <w:abstractNumId w:val="16"/>
  </w:num>
  <w:num w:numId="4">
    <w:abstractNumId w:val="12"/>
  </w:num>
  <w:num w:numId="5">
    <w:abstractNumId w:val="10"/>
  </w:num>
  <w:num w:numId="6">
    <w:abstractNumId w:val="15"/>
  </w:num>
  <w:num w:numId="7">
    <w:abstractNumId w:val="1"/>
  </w:num>
  <w:num w:numId="8">
    <w:abstractNumId w:val="9"/>
  </w:num>
  <w:num w:numId="9">
    <w:abstractNumId w:val="3"/>
  </w:num>
  <w:num w:numId="10">
    <w:abstractNumId w:val="7"/>
  </w:num>
  <w:num w:numId="11">
    <w:abstractNumId w:val="3"/>
  </w:num>
  <w:num w:numId="12">
    <w:abstractNumId w:val="7"/>
  </w:num>
  <w:num w:numId="13">
    <w:abstractNumId w:val="14"/>
  </w:num>
  <w:num w:numId="14">
    <w:abstractNumId w:val="6"/>
  </w:num>
  <w:num w:numId="15">
    <w:abstractNumId w:val="0"/>
  </w:num>
  <w:num w:numId="16">
    <w:abstractNumId w:val="8"/>
  </w:num>
  <w:num w:numId="17">
    <w:abstractNumId w:val="2"/>
  </w:num>
  <w:num w:numId="18">
    <w:abstractNumId w:val="13"/>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CE"/>
    <w:rsid w:val="00011807"/>
    <w:rsid w:val="00061720"/>
    <w:rsid w:val="00063C00"/>
    <w:rsid w:val="00071DB7"/>
    <w:rsid w:val="00083AFA"/>
    <w:rsid w:val="000A4822"/>
    <w:rsid w:val="000C0543"/>
    <w:rsid w:val="000C1C02"/>
    <w:rsid w:val="000C4A9D"/>
    <w:rsid w:val="000C607E"/>
    <w:rsid w:val="000D1244"/>
    <w:rsid w:val="0010536E"/>
    <w:rsid w:val="001075AE"/>
    <w:rsid w:val="00126E8E"/>
    <w:rsid w:val="0013519A"/>
    <w:rsid w:val="00141694"/>
    <w:rsid w:val="00172116"/>
    <w:rsid w:val="001A237E"/>
    <w:rsid w:val="001C584F"/>
    <w:rsid w:val="001D2017"/>
    <w:rsid w:val="00202F4F"/>
    <w:rsid w:val="0024112E"/>
    <w:rsid w:val="002750EC"/>
    <w:rsid w:val="00286163"/>
    <w:rsid w:val="002F2362"/>
    <w:rsid w:val="002F498E"/>
    <w:rsid w:val="00320DFC"/>
    <w:rsid w:val="003310B5"/>
    <w:rsid w:val="003438C7"/>
    <w:rsid w:val="003B7AEE"/>
    <w:rsid w:val="003C1320"/>
    <w:rsid w:val="003C41A5"/>
    <w:rsid w:val="003D054D"/>
    <w:rsid w:val="003F02D5"/>
    <w:rsid w:val="003F464A"/>
    <w:rsid w:val="004114C3"/>
    <w:rsid w:val="00476537"/>
    <w:rsid w:val="004766BE"/>
    <w:rsid w:val="004C4E83"/>
    <w:rsid w:val="004E5DE0"/>
    <w:rsid w:val="004F27A7"/>
    <w:rsid w:val="00504879"/>
    <w:rsid w:val="0050597A"/>
    <w:rsid w:val="005151A2"/>
    <w:rsid w:val="00523F97"/>
    <w:rsid w:val="00541EE0"/>
    <w:rsid w:val="00574B22"/>
    <w:rsid w:val="005B38AA"/>
    <w:rsid w:val="005B689C"/>
    <w:rsid w:val="005E12EB"/>
    <w:rsid w:val="005E573B"/>
    <w:rsid w:val="005F7A5C"/>
    <w:rsid w:val="00613BC3"/>
    <w:rsid w:val="00615F18"/>
    <w:rsid w:val="0062328D"/>
    <w:rsid w:val="00625676"/>
    <w:rsid w:val="0068012B"/>
    <w:rsid w:val="0069458A"/>
    <w:rsid w:val="006A3F04"/>
    <w:rsid w:val="006A77E1"/>
    <w:rsid w:val="006B0380"/>
    <w:rsid w:val="006D1C31"/>
    <w:rsid w:val="006D4546"/>
    <w:rsid w:val="006F378A"/>
    <w:rsid w:val="007218E2"/>
    <w:rsid w:val="00732E22"/>
    <w:rsid w:val="007352E3"/>
    <w:rsid w:val="007556B9"/>
    <w:rsid w:val="0079292C"/>
    <w:rsid w:val="007B70E3"/>
    <w:rsid w:val="007E77DD"/>
    <w:rsid w:val="007F1CDC"/>
    <w:rsid w:val="00807E0C"/>
    <w:rsid w:val="008310B7"/>
    <w:rsid w:val="0083315F"/>
    <w:rsid w:val="008739BF"/>
    <w:rsid w:val="008753CD"/>
    <w:rsid w:val="008929B9"/>
    <w:rsid w:val="008B6F5F"/>
    <w:rsid w:val="008D501F"/>
    <w:rsid w:val="00912BD2"/>
    <w:rsid w:val="00915291"/>
    <w:rsid w:val="00925E04"/>
    <w:rsid w:val="009529CE"/>
    <w:rsid w:val="009612E8"/>
    <w:rsid w:val="00987FC3"/>
    <w:rsid w:val="009C26D7"/>
    <w:rsid w:val="009C5D08"/>
    <w:rsid w:val="009D6300"/>
    <w:rsid w:val="009E15F3"/>
    <w:rsid w:val="009E1847"/>
    <w:rsid w:val="00A52036"/>
    <w:rsid w:val="00A77C46"/>
    <w:rsid w:val="00A90CF1"/>
    <w:rsid w:val="00AA3D09"/>
    <w:rsid w:val="00AB0660"/>
    <w:rsid w:val="00AB70ED"/>
    <w:rsid w:val="00AC3D10"/>
    <w:rsid w:val="00AC6495"/>
    <w:rsid w:val="00AD0136"/>
    <w:rsid w:val="00AE6D65"/>
    <w:rsid w:val="00AF6497"/>
    <w:rsid w:val="00AF7412"/>
    <w:rsid w:val="00B545D9"/>
    <w:rsid w:val="00B77B90"/>
    <w:rsid w:val="00BC24EC"/>
    <w:rsid w:val="00BC2A42"/>
    <w:rsid w:val="00BC2F6C"/>
    <w:rsid w:val="00BE7255"/>
    <w:rsid w:val="00BF1833"/>
    <w:rsid w:val="00C05D14"/>
    <w:rsid w:val="00C0728A"/>
    <w:rsid w:val="00C521E5"/>
    <w:rsid w:val="00C90334"/>
    <w:rsid w:val="00CF63F4"/>
    <w:rsid w:val="00D05A20"/>
    <w:rsid w:val="00D13BFA"/>
    <w:rsid w:val="00D320C1"/>
    <w:rsid w:val="00D76876"/>
    <w:rsid w:val="00DA7B83"/>
    <w:rsid w:val="00E150F2"/>
    <w:rsid w:val="00E153DE"/>
    <w:rsid w:val="00E87E56"/>
    <w:rsid w:val="00E96D08"/>
    <w:rsid w:val="00ED0552"/>
    <w:rsid w:val="00ED1A5D"/>
    <w:rsid w:val="00EE0E00"/>
    <w:rsid w:val="00F017A3"/>
    <w:rsid w:val="00F57D19"/>
    <w:rsid w:val="00F60C37"/>
    <w:rsid w:val="00F64539"/>
    <w:rsid w:val="00F64D9B"/>
    <w:rsid w:val="00F77D14"/>
    <w:rsid w:val="00FA4908"/>
    <w:rsid w:val="00FA5898"/>
    <w:rsid w:val="00FC55A5"/>
    <w:rsid w:val="00FD4944"/>
    <w:rsid w:val="00FE53E2"/>
    <w:rsid w:val="00FF5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249" w:lineRule="auto"/>
      <w:ind w:left="10" w:right="2" w:hanging="10"/>
      <w:jc w:val="both"/>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362"/>
    <w:pPr>
      <w:ind w:left="720"/>
      <w:contextualSpacing/>
    </w:pPr>
  </w:style>
  <w:style w:type="table" w:styleId="TableGrid">
    <w:name w:val="Table Grid"/>
    <w:basedOn w:val="TableNormal"/>
    <w:uiPriority w:val="39"/>
    <w:rsid w:val="00A90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218E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n-US" w:eastAsia="en-US"/>
    </w:rPr>
  </w:style>
  <w:style w:type="character" w:styleId="Strong">
    <w:name w:val="Strong"/>
    <w:basedOn w:val="DefaultParagraphFont"/>
    <w:uiPriority w:val="22"/>
    <w:qFormat/>
    <w:rsid w:val="007218E2"/>
    <w:rPr>
      <w:b/>
      <w:bCs/>
    </w:rPr>
  </w:style>
  <w:style w:type="paragraph" w:styleId="Header">
    <w:name w:val="header"/>
    <w:basedOn w:val="Normal"/>
    <w:link w:val="HeaderChar"/>
    <w:uiPriority w:val="99"/>
    <w:unhideWhenUsed/>
    <w:rsid w:val="00AE6D65"/>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en-US" w:eastAsia="ja-JP"/>
    </w:rPr>
  </w:style>
  <w:style w:type="character" w:customStyle="1" w:styleId="HeaderChar">
    <w:name w:val="Header Char"/>
    <w:basedOn w:val="DefaultParagraphFont"/>
    <w:link w:val="Header"/>
    <w:uiPriority w:val="99"/>
    <w:rsid w:val="00AE6D65"/>
    <w:rPr>
      <w:lang w:val="en-US" w:eastAsia="ja-JP"/>
    </w:rPr>
  </w:style>
  <w:style w:type="paragraph" w:styleId="BalloonText">
    <w:name w:val="Balloon Text"/>
    <w:basedOn w:val="Normal"/>
    <w:link w:val="BalloonTextChar"/>
    <w:uiPriority w:val="99"/>
    <w:semiHidden/>
    <w:unhideWhenUsed/>
    <w:rsid w:val="00C9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34"/>
    <w:rPr>
      <w:rFonts w:ascii="Tahoma" w:eastAsia="Bookman Old Style"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249" w:lineRule="auto"/>
      <w:ind w:left="10" w:right="2" w:hanging="10"/>
      <w:jc w:val="both"/>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362"/>
    <w:pPr>
      <w:ind w:left="720"/>
      <w:contextualSpacing/>
    </w:pPr>
  </w:style>
  <w:style w:type="table" w:styleId="TableGrid">
    <w:name w:val="Table Grid"/>
    <w:basedOn w:val="TableNormal"/>
    <w:uiPriority w:val="39"/>
    <w:rsid w:val="00A90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218E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n-US" w:eastAsia="en-US"/>
    </w:rPr>
  </w:style>
  <w:style w:type="character" w:styleId="Strong">
    <w:name w:val="Strong"/>
    <w:basedOn w:val="DefaultParagraphFont"/>
    <w:uiPriority w:val="22"/>
    <w:qFormat/>
    <w:rsid w:val="007218E2"/>
    <w:rPr>
      <w:b/>
      <w:bCs/>
    </w:rPr>
  </w:style>
  <w:style w:type="paragraph" w:styleId="Header">
    <w:name w:val="header"/>
    <w:basedOn w:val="Normal"/>
    <w:link w:val="HeaderChar"/>
    <w:uiPriority w:val="99"/>
    <w:unhideWhenUsed/>
    <w:rsid w:val="00AE6D65"/>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en-US" w:eastAsia="ja-JP"/>
    </w:rPr>
  </w:style>
  <w:style w:type="character" w:customStyle="1" w:styleId="HeaderChar">
    <w:name w:val="Header Char"/>
    <w:basedOn w:val="DefaultParagraphFont"/>
    <w:link w:val="Header"/>
    <w:uiPriority w:val="99"/>
    <w:rsid w:val="00AE6D65"/>
    <w:rPr>
      <w:lang w:val="en-US" w:eastAsia="ja-JP"/>
    </w:rPr>
  </w:style>
  <w:style w:type="paragraph" w:styleId="BalloonText">
    <w:name w:val="Balloon Text"/>
    <w:basedOn w:val="Normal"/>
    <w:link w:val="BalloonTextChar"/>
    <w:uiPriority w:val="99"/>
    <w:semiHidden/>
    <w:unhideWhenUsed/>
    <w:rsid w:val="00C9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34"/>
    <w:rPr>
      <w:rFonts w:ascii="Tahoma" w:eastAsia="Bookman Old Style"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68447">
      <w:bodyDiv w:val="1"/>
      <w:marLeft w:val="0"/>
      <w:marRight w:val="0"/>
      <w:marTop w:val="0"/>
      <w:marBottom w:val="0"/>
      <w:divBdr>
        <w:top w:val="none" w:sz="0" w:space="0" w:color="auto"/>
        <w:left w:val="none" w:sz="0" w:space="0" w:color="auto"/>
        <w:bottom w:val="none" w:sz="0" w:space="0" w:color="auto"/>
        <w:right w:val="none" w:sz="0" w:space="0" w:color="auto"/>
      </w:divBdr>
    </w:div>
    <w:div w:id="1382097917">
      <w:bodyDiv w:val="1"/>
      <w:marLeft w:val="0"/>
      <w:marRight w:val="0"/>
      <w:marTop w:val="0"/>
      <w:marBottom w:val="0"/>
      <w:divBdr>
        <w:top w:val="none" w:sz="0" w:space="0" w:color="auto"/>
        <w:left w:val="none" w:sz="0" w:space="0" w:color="auto"/>
        <w:bottom w:val="none" w:sz="0" w:space="0" w:color="auto"/>
        <w:right w:val="none" w:sz="0" w:space="0" w:color="auto"/>
      </w:divBdr>
    </w:div>
    <w:div w:id="1793131583">
      <w:bodyDiv w:val="1"/>
      <w:marLeft w:val="0"/>
      <w:marRight w:val="0"/>
      <w:marTop w:val="0"/>
      <w:marBottom w:val="0"/>
      <w:divBdr>
        <w:top w:val="none" w:sz="0" w:space="0" w:color="auto"/>
        <w:left w:val="none" w:sz="0" w:space="0" w:color="auto"/>
        <w:bottom w:val="none" w:sz="0" w:space="0" w:color="auto"/>
        <w:right w:val="none" w:sz="0" w:space="0" w:color="auto"/>
      </w:divBdr>
    </w:div>
    <w:div w:id="198870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9CD7-4066-42EC-B340-A77E27DB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 Antony</dc:creator>
  <cp:lastModifiedBy>Nitin Chopra</cp:lastModifiedBy>
  <cp:revision>4</cp:revision>
  <dcterms:created xsi:type="dcterms:W3CDTF">2020-01-09T14:42:00Z</dcterms:created>
  <dcterms:modified xsi:type="dcterms:W3CDTF">2020-01-09T14:46:00Z</dcterms:modified>
</cp:coreProperties>
</file>